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43405" w:rsidRPr="00A929CE" w:rsidRDefault="00843405" w:rsidP="00A929CE">
      <w:pPr>
        <w:spacing w:line="360" w:lineRule="auto"/>
        <w:ind w:left="-822" w:right="-798"/>
        <w:rPr>
          <w:rFonts w:asciiTheme="minorHAnsi" w:hAnsiTheme="minorHAnsi"/>
          <w:sz w:val="24"/>
          <w:szCs w:val="24"/>
        </w:rPr>
      </w:pPr>
    </w:p>
    <w:tbl>
      <w:tblPr>
        <w:tblStyle w:val="Grilledutableau"/>
        <w:tblW w:w="9923"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923"/>
      </w:tblGrid>
      <w:tr w:rsidR="00E77D1F" w:rsidRPr="006A0646" w:rsidTr="002C0F6D">
        <w:trPr>
          <w:jc w:val="center"/>
        </w:trPr>
        <w:tc>
          <w:tcPr>
            <w:tcW w:w="9923" w:type="dxa"/>
            <w:hideMark/>
          </w:tcPr>
          <w:p w:rsidR="00E77D1F" w:rsidRPr="006A0646" w:rsidRDefault="00E77D1F" w:rsidP="001F0065">
            <w:pPr>
              <w:spacing w:line="360" w:lineRule="auto"/>
              <w:ind w:right="-108"/>
              <w:jc w:val="center"/>
              <w:rPr>
                <w:rFonts w:asciiTheme="minorHAnsi" w:hAnsiTheme="minorHAnsi" w:cstheme="minorHAnsi"/>
                <w:b/>
                <w:bCs/>
                <w:sz w:val="24"/>
                <w:szCs w:val="24"/>
              </w:rPr>
            </w:pPr>
            <w:r w:rsidRPr="006A0646">
              <w:rPr>
                <w:rFonts w:asciiTheme="minorHAnsi" w:hAnsiTheme="minorHAnsi" w:cstheme="minorHAnsi"/>
                <w:b/>
                <w:bCs/>
                <w:sz w:val="24"/>
                <w:szCs w:val="24"/>
              </w:rPr>
              <w:t>REPUBLIQUE DU MALI</w:t>
            </w:r>
          </w:p>
          <w:p w:rsidR="00E77D1F" w:rsidRPr="006A0646" w:rsidRDefault="00E77D1F" w:rsidP="001F0065">
            <w:pPr>
              <w:spacing w:line="360" w:lineRule="auto"/>
              <w:ind w:right="-108"/>
              <w:jc w:val="center"/>
              <w:rPr>
                <w:rFonts w:asciiTheme="minorHAnsi" w:hAnsiTheme="minorHAnsi" w:cstheme="minorHAnsi"/>
                <w:b/>
                <w:bCs/>
                <w:i/>
                <w:iCs/>
                <w:sz w:val="24"/>
                <w:szCs w:val="24"/>
              </w:rPr>
            </w:pPr>
            <w:r w:rsidRPr="006A0646">
              <w:rPr>
                <w:rFonts w:asciiTheme="minorHAnsi" w:hAnsiTheme="minorHAnsi" w:cstheme="minorHAnsi"/>
                <w:b/>
                <w:bCs/>
                <w:i/>
                <w:iCs/>
                <w:sz w:val="24"/>
                <w:szCs w:val="24"/>
              </w:rPr>
              <w:t>Un Peuple - Un But - Une Foi</w:t>
            </w:r>
          </w:p>
          <w:p w:rsidR="00E77D1F" w:rsidRPr="006A0646" w:rsidRDefault="00E77D1F" w:rsidP="001F0065">
            <w:pPr>
              <w:spacing w:line="360" w:lineRule="auto"/>
              <w:ind w:right="-108"/>
              <w:jc w:val="center"/>
              <w:rPr>
                <w:rFonts w:asciiTheme="minorHAnsi" w:hAnsiTheme="minorHAnsi" w:cstheme="minorHAnsi"/>
                <w:sz w:val="24"/>
                <w:szCs w:val="24"/>
              </w:rPr>
            </w:pPr>
            <w:r w:rsidRPr="006A0646">
              <w:rPr>
                <w:rFonts w:asciiTheme="minorHAnsi" w:hAnsiTheme="minorHAnsi" w:cstheme="minorHAnsi"/>
                <w:noProof/>
                <w:sz w:val="24"/>
                <w:szCs w:val="24"/>
                <w:lang w:eastAsia="fr-FR"/>
              </w:rPr>
              <w:drawing>
                <wp:inline distT="0" distB="0" distL="0" distR="0">
                  <wp:extent cx="1381125" cy="1257300"/>
                  <wp:effectExtent l="0" t="0" r="9525" b="0"/>
                  <wp:docPr id="1" name="Image 1"/>
                  <wp:cNvGraphicFramePr/>
                  <a:graphic xmlns:a="http://schemas.openxmlformats.org/drawingml/2006/main">
                    <a:graphicData uri="http://schemas.openxmlformats.org/drawingml/2006/picture">
                      <pic:pic xmlns:pic="http://schemas.openxmlformats.org/drawingml/2006/picture">
                        <pic:nvPicPr>
                          <pic:cNvPr id="2" name="Image 1"/>
                          <pic:cNvPicPr/>
                        </pic:nvPicPr>
                        <pic:blipFill>
                          <a:blip r:embed="rId8" cstate="print"/>
                          <a:srcRect/>
                          <a:stretch>
                            <a:fillRect/>
                          </a:stretch>
                        </pic:blipFill>
                        <pic:spPr bwMode="auto">
                          <a:xfrm>
                            <a:off x="0" y="0"/>
                            <a:ext cx="1381125" cy="1257300"/>
                          </a:xfrm>
                          <a:prstGeom prst="rect">
                            <a:avLst/>
                          </a:prstGeom>
                          <a:noFill/>
                        </pic:spPr>
                      </pic:pic>
                    </a:graphicData>
                  </a:graphic>
                </wp:inline>
              </w:drawing>
            </w:r>
          </w:p>
        </w:tc>
      </w:tr>
      <w:tr w:rsidR="00E77D1F" w:rsidRPr="006A0646" w:rsidTr="001F0065">
        <w:trPr>
          <w:jc w:val="center"/>
        </w:trPr>
        <w:tc>
          <w:tcPr>
            <w:tcW w:w="9923" w:type="dxa"/>
            <w:hideMark/>
          </w:tcPr>
          <w:p w:rsidR="00E77D1F" w:rsidRPr="006A0646" w:rsidRDefault="00E77D1F" w:rsidP="001F0065">
            <w:pPr>
              <w:spacing w:line="360" w:lineRule="auto"/>
              <w:ind w:left="176"/>
              <w:jc w:val="center"/>
              <w:rPr>
                <w:rFonts w:asciiTheme="minorHAnsi" w:hAnsiTheme="minorHAnsi" w:cstheme="minorHAnsi"/>
                <w:b/>
                <w:bCs/>
                <w:sz w:val="24"/>
                <w:szCs w:val="24"/>
              </w:rPr>
            </w:pPr>
            <w:r w:rsidRPr="006A0646">
              <w:rPr>
                <w:rFonts w:asciiTheme="minorHAnsi" w:hAnsiTheme="minorHAnsi" w:cstheme="minorHAnsi"/>
                <w:b/>
                <w:bCs/>
                <w:sz w:val="24"/>
                <w:szCs w:val="24"/>
              </w:rPr>
              <w:t>MINISTERE DE L’ENVIRONNREMENT, DE L’ASSAINISSEMENT ET DE DEVELOPPEMENT DURABLE</w:t>
            </w:r>
          </w:p>
          <w:p w:rsidR="00E77D1F" w:rsidRDefault="00E77D1F" w:rsidP="001F0065">
            <w:pPr>
              <w:spacing w:line="360" w:lineRule="auto"/>
              <w:ind w:left="209" w:right="-108"/>
              <w:jc w:val="center"/>
              <w:rPr>
                <w:rFonts w:asciiTheme="minorHAnsi" w:hAnsiTheme="minorHAnsi" w:cstheme="minorHAnsi"/>
                <w:noProof/>
                <w:sz w:val="24"/>
                <w:szCs w:val="24"/>
              </w:rPr>
            </w:pPr>
            <w:r w:rsidRPr="006A0646">
              <w:rPr>
                <w:rFonts w:asciiTheme="minorHAnsi" w:hAnsiTheme="minorHAnsi" w:cstheme="minorHAnsi"/>
                <w:noProof/>
                <w:sz w:val="24"/>
                <w:szCs w:val="24"/>
              </w:rPr>
              <w:t>--------------*******--------------</w:t>
            </w:r>
          </w:p>
          <w:p w:rsidR="00E77D1F" w:rsidRPr="00AB734D" w:rsidRDefault="00E77D1F" w:rsidP="001F0065">
            <w:pPr>
              <w:spacing w:line="360" w:lineRule="auto"/>
              <w:ind w:left="209" w:right="-108"/>
              <w:jc w:val="center"/>
              <w:rPr>
                <w:rFonts w:asciiTheme="minorHAnsi" w:hAnsiTheme="minorHAnsi" w:cstheme="minorHAnsi"/>
                <w:b/>
                <w:bCs/>
                <w:szCs w:val="20"/>
              </w:rPr>
            </w:pPr>
            <w:r w:rsidRPr="00AB734D">
              <w:rPr>
                <w:rFonts w:asciiTheme="minorHAnsi" w:hAnsiTheme="minorHAnsi" w:cstheme="minorHAnsi"/>
                <w:b/>
                <w:bCs/>
                <w:szCs w:val="20"/>
              </w:rPr>
              <w:t>DIRECTION NATIONALE DE L’ASSAINISSEMENT, DU CONTROLE DES POLUTIONS ET DES NUISANCE</w:t>
            </w:r>
          </w:p>
        </w:tc>
      </w:tr>
      <w:tr w:rsidR="00E77D1F" w:rsidRPr="006A0646" w:rsidTr="002C0F6D">
        <w:trPr>
          <w:jc w:val="center"/>
        </w:trPr>
        <w:tc>
          <w:tcPr>
            <w:tcW w:w="9923" w:type="dxa"/>
          </w:tcPr>
          <w:p w:rsidR="00E77D1F" w:rsidRPr="006A0646" w:rsidRDefault="00E77D1F" w:rsidP="006A0646">
            <w:pPr>
              <w:spacing w:line="360" w:lineRule="auto"/>
              <w:jc w:val="both"/>
              <w:rPr>
                <w:rFonts w:asciiTheme="minorHAnsi" w:hAnsiTheme="minorHAnsi" w:cstheme="minorHAnsi"/>
                <w:sz w:val="24"/>
                <w:szCs w:val="24"/>
              </w:rPr>
            </w:pPr>
          </w:p>
        </w:tc>
      </w:tr>
      <w:tr w:rsidR="00E77D1F" w:rsidRPr="006A0646" w:rsidTr="002C0F6D">
        <w:trPr>
          <w:jc w:val="center"/>
        </w:trPr>
        <w:tc>
          <w:tcPr>
            <w:tcW w:w="9923" w:type="dxa"/>
          </w:tcPr>
          <w:p w:rsidR="00E77D1F" w:rsidRPr="006A0646" w:rsidRDefault="00E77D1F" w:rsidP="006A0646">
            <w:pPr>
              <w:spacing w:line="360" w:lineRule="auto"/>
              <w:jc w:val="both"/>
              <w:rPr>
                <w:rFonts w:asciiTheme="minorHAnsi" w:hAnsiTheme="minorHAnsi" w:cstheme="minorHAnsi"/>
                <w:b/>
                <w:i/>
                <w:sz w:val="24"/>
                <w:szCs w:val="24"/>
              </w:rPr>
            </w:pPr>
          </w:p>
        </w:tc>
      </w:tr>
    </w:tbl>
    <w:p w:rsidR="00E77D1F" w:rsidRPr="006A0646" w:rsidRDefault="00E77D1F" w:rsidP="006A0646">
      <w:pPr>
        <w:spacing w:line="360" w:lineRule="auto"/>
        <w:jc w:val="both"/>
        <w:rPr>
          <w:rFonts w:asciiTheme="minorHAnsi" w:hAnsiTheme="minorHAnsi" w:cstheme="minorHAnsi"/>
          <w:b/>
          <w:sz w:val="24"/>
          <w:szCs w:val="24"/>
        </w:rPr>
      </w:pPr>
    </w:p>
    <w:p w:rsidR="00E77D1F" w:rsidRPr="00AB734D" w:rsidRDefault="00E77D1F" w:rsidP="002C0F6D">
      <w:pPr>
        <w:spacing w:line="360" w:lineRule="auto"/>
        <w:jc w:val="center"/>
        <w:rPr>
          <w:rFonts w:asciiTheme="minorHAnsi" w:hAnsiTheme="minorHAnsi" w:cstheme="minorHAnsi"/>
          <w:b/>
          <w:color w:val="000000" w:themeColor="text1"/>
          <w:sz w:val="28"/>
          <w:szCs w:val="28"/>
        </w:rPr>
      </w:pPr>
      <w:r w:rsidRPr="00AB734D">
        <w:rPr>
          <w:rFonts w:asciiTheme="minorHAnsi" w:hAnsiTheme="minorHAnsi" w:cstheme="minorHAnsi"/>
          <w:b/>
          <w:color w:val="000000" w:themeColor="text1"/>
          <w:sz w:val="28"/>
          <w:szCs w:val="28"/>
        </w:rPr>
        <w:t>RELECTURE DE LA POLITIQUE NATIONALE D’ASSAINISSEMENT DU MALI</w:t>
      </w:r>
    </w:p>
    <w:p w:rsidR="00E77D1F" w:rsidRDefault="00E77D1F" w:rsidP="002C0F6D">
      <w:pPr>
        <w:spacing w:line="360" w:lineRule="auto"/>
        <w:jc w:val="center"/>
        <w:rPr>
          <w:rFonts w:asciiTheme="minorHAnsi" w:hAnsiTheme="minorHAnsi" w:cstheme="minorHAnsi"/>
          <w:b/>
          <w:color w:val="1481AB" w:themeColor="accent1" w:themeShade="BF"/>
          <w:sz w:val="24"/>
          <w:szCs w:val="24"/>
        </w:rPr>
      </w:pPr>
    </w:p>
    <w:p w:rsidR="00E77D1F" w:rsidRDefault="005441B8" w:rsidP="002C0F6D">
      <w:pPr>
        <w:spacing w:line="360" w:lineRule="auto"/>
        <w:jc w:val="center"/>
        <w:rPr>
          <w:rFonts w:asciiTheme="minorHAnsi" w:hAnsiTheme="minorHAnsi" w:cstheme="minorHAnsi"/>
          <w:b/>
          <w:color w:val="1481AB" w:themeColor="accent1" w:themeShade="BF"/>
          <w:sz w:val="24"/>
          <w:szCs w:val="24"/>
        </w:rPr>
      </w:pPr>
      <w:r>
        <w:rPr>
          <w:rFonts w:asciiTheme="minorHAnsi" w:hAnsiTheme="minorHAnsi" w:cstheme="minorHAnsi"/>
          <w:b/>
          <w:noProof/>
          <w:color w:val="1481AB" w:themeColor="accent1" w:themeShade="BF"/>
          <w:sz w:val="24"/>
          <w:szCs w:val="24"/>
          <w:lang w:eastAsia="en-US"/>
        </w:rPr>
        <w:pict>
          <v:shapetype id="_x0000_t202" coordsize="21600,21600" o:spt="202" path="m,l,21600r21600,l21600,xe">
            <v:stroke joinstyle="miter"/>
            <v:path gradientshapeok="t" o:connecttype="rect"/>
          </v:shapetype>
          <v:shape id="_x0000_s1026" type="#_x0000_t202" style="position:absolute;left:0;text-align:left;margin-left:55.5pt;margin-top:408.75pt;width:453.75pt;height:150pt;z-index:251660288;mso-position-horizontal-relative:page;mso-position-vertical-relative:page;mso-width-relative:margin;v-text-anchor:middle" o:allowincell="f" filled="f" strokecolor="#134162 [1605]" strokeweight="6pt">
            <v:stroke linestyle="thickThin"/>
            <v:textbox style="mso-next-textbox:#_x0000_s1026" inset="10.8pt,7.2pt,10.8pt,7.2pt">
              <w:txbxContent>
                <w:p w:rsidR="001F0065" w:rsidRPr="00AB734D" w:rsidRDefault="001F0065" w:rsidP="001F0065">
                  <w:pPr>
                    <w:spacing w:line="360" w:lineRule="auto"/>
                    <w:jc w:val="center"/>
                    <w:rPr>
                      <w:rFonts w:cstheme="minorHAnsi"/>
                      <w:b/>
                      <w:color w:val="000000" w:themeColor="text1"/>
                      <w:sz w:val="56"/>
                      <w:szCs w:val="56"/>
                    </w:rPr>
                  </w:pPr>
                  <w:r w:rsidRPr="00AB734D">
                    <w:rPr>
                      <w:rFonts w:asciiTheme="minorHAnsi" w:hAnsiTheme="minorHAnsi" w:cstheme="minorHAnsi"/>
                      <w:b/>
                      <w:color w:val="000000" w:themeColor="text1"/>
                      <w:sz w:val="56"/>
                      <w:szCs w:val="56"/>
                    </w:rPr>
                    <w:t>Rapport Diagnostic du Sous secteur de l’Assainissement et évaluation de la mise en œuvre de la PNA</w:t>
                  </w:r>
                </w:p>
                <w:p w:rsidR="001F0065" w:rsidRDefault="001F0065">
                  <w:pPr>
                    <w:spacing w:line="360" w:lineRule="auto"/>
                    <w:jc w:val="center"/>
                    <w:rPr>
                      <w:rFonts w:asciiTheme="majorHAnsi" w:eastAsiaTheme="majorEastAsia" w:hAnsiTheme="majorHAnsi" w:cstheme="majorBidi"/>
                      <w:i/>
                      <w:iCs/>
                      <w:sz w:val="28"/>
                      <w:szCs w:val="28"/>
                    </w:rPr>
                  </w:pPr>
                </w:p>
              </w:txbxContent>
            </v:textbox>
            <w10:wrap type="square" anchorx="page" anchory="page"/>
          </v:shape>
        </w:pict>
      </w:r>
    </w:p>
    <w:p w:rsidR="00E77D1F" w:rsidRPr="006A0646" w:rsidRDefault="00E77D1F" w:rsidP="002C0F6D">
      <w:pPr>
        <w:spacing w:line="360" w:lineRule="auto"/>
        <w:jc w:val="center"/>
        <w:rPr>
          <w:rFonts w:asciiTheme="minorHAnsi" w:hAnsiTheme="minorHAnsi" w:cstheme="minorHAnsi"/>
          <w:b/>
          <w:color w:val="1481AB" w:themeColor="accent1" w:themeShade="BF"/>
          <w:sz w:val="24"/>
          <w:szCs w:val="24"/>
        </w:rPr>
      </w:pPr>
    </w:p>
    <w:p w:rsidR="00E77D1F" w:rsidRDefault="00E77D1F" w:rsidP="002C0F6D">
      <w:pPr>
        <w:spacing w:line="360" w:lineRule="auto"/>
        <w:jc w:val="center"/>
        <w:rPr>
          <w:rFonts w:asciiTheme="minorHAnsi" w:hAnsiTheme="minorHAnsi" w:cstheme="minorHAnsi"/>
          <w:b/>
          <w:color w:val="1481AB" w:themeColor="accent1" w:themeShade="BF"/>
          <w:sz w:val="24"/>
          <w:szCs w:val="24"/>
        </w:rPr>
      </w:pPr>
    </w:p>
    <w:p w:rsidR="00E77D1F" w:rsidRDefault="00E77D1F" w:rsidP="002C0F6D">
      <w:pPr>
        <w:spacing w:line="360" w:lineRule="auto"/>
        <w:jc w:val="center"/>
        <w:rPr>
          <w:rFonts w:asciiTheme="minorHAnsi" w:hAnsiTheme="minorHAnsi" w:cstheme="minorHAnsi"/>
          <w:b/>
          <w:color w:val="1481AB" w:themeColor="accent1" w:themeShade="BF"/>
          <w:sz w:val="24"/>
          <w:szCs w:val="24"/>
        </w:rPr>
      </w:pPr>
    </w:p>
    <w:p w:rsidR="00E77D1F" w:rsidRPr="006A0646" w:rsidRDefault="00E77D1F" w:rsidP="006A0646">
      <w:pPr>
        <w:spacing w:line="360" w:lineRule="auto"/>
        <w:jc w:val="both"/>
        <w:rPr>
          <w:rFonts w:asciiTheme="minorHAnsi" w:hAnsiTheme="minorHAnsi" w:cstheme="minorHAnsi"/>
          <w:b/>
          <w:color w:val="1481AB" w:themeColor="accent1" w:themeShade="BF"/>
          <w:sz w:val="24"/>
          <w:szCs w:val="24"/>
        </w:rPr>
      </w:pPr>
    </w:p>
    <w:p w:rsidR="00E77D1F" w:rsidRPr="006A0646" w:rsidRDefault="00E77D1F" w:rsidP="006A0646">
      <w:pPr>
        <w:spacing w:line="360" w:lineRule="auto"/>
        <w:jc w:val="both"/>
        <w:rPr>
          <w:rFonts w:asciiTheme="minorHAnsi" w:hAnsiTheme="minorHAnsi" w:cstheme="minorHAnsi"/>
          <w:b/>
          <w:sz w:val="24"/>
          <w:szCs w:val="24"/>
        </w:rPr>
      </w:pPr>
    </w:p>
    <w:p w:rsidR="00E77D1F" w:rsidRPr="006A0646" w:rsidRDefault="00E77D1F" w:rsidP="006A0646">
      <w:pPr>
        <w:tabs>
          <w:tab w:val="left" w:pos="5670"/>
        </w:tabs>
        <w:spacing w:line="360" w:lineRule="auto"/>
        <w:jc w:val="both"/>
        <w:rPr>
          <w:rFonts w:asciiTheme="minorHAnsi" w:hAnsiTheme="minorHAnsi" w:cstheme="minorHAnsi"/>
          <w:b/>
          <w:sz w:val="24"/>
          <w:szCs w:val="24"/>
        </w:rPr>
      </w:pPr>
    </w:p>
    <w:p w:rsidR="00E77D1F" w:rsidRPr="00734C93" w:rsidRDefault="00E77D1F" w:rsidP="001F0065">
      <w:pPr>
        <w:tabs>
          <w:tab w:val="left" w:pos="5670"/>
        </w:tabs>
        <w:spacing w:line="360" w:lineRule="auto"/>
        <w:jc w:val="right"/>
        <w:rPr>
          <w:rFonts w:asciiTheme="minorHAnsi" w:hAnsiTheme="minorHAnsi" w:cstheme="minorHAnsi"/>
          <w:sz w:val="24"/>
          <w:szCs w:val="24"/>
        </w:rPr>
        <w:sectPr w:rsidR="00E77D1F" w:rsidRPr="00734C93" w:rsidSect="001F0065">
          <w:footerReference w:type="default" r:id="rId9"/>
          <w:type w:val="continuous"/>
          <w:pgSz w:w="11906" w:h="16838" w:code="9"/>
          <w:pgMar w:top="1418" w:right="1418" w:bottom="1418" w:left="1418" w:header="709" w:footer="709" w:gutter="0"/>
          <w:cols w:space="708"/>
          <w:titlePg/>
          <w:docGrid w:linePitch="360"/>
        </w:sectPr>
      </w:pPr>
      <w:r>
        <w:rPr>
          <w:rFonts w:asciiTheme="minorHAnsi" w:hAnsiTheme="minorHAnsi" w:cstheme="minorHAnsi"/>
          <w:b/>
          <w:sz w:val="24"/>
          <w:szCs w:val="24"/>
        </w:rPr>
        <w:t>J</w:t>
      </w:r>
      <w:r w:rsidRPr="006A0646">
        <w:rPr>
          <w:rFonts w:asciiTheme="minorHAnsi" w:hAnsiTheme="minorHAnsi" w:cstheme="minorHAnsi"/>
          <w:b/>
          <w:sz w:val="24"/>
          <w:szCs w:val="24"/>
        </w:rPr>
        <w:t>uin 2018</w:t>
      </w:r>
    </w:p>
    <w:p w:rsidR="00E77D1F" w:rsidRDefault="00E77D1F" w:rsidP="001F0065">
      <w:pPr>
        <w:spacing w:after="160" w:line="259" w:lineRule="auto"/>
        <w:rPr>
          <w:rFonts w:asciiTheme="minorHAnsi" w:hAnsiTheme="minorHAnsi" w:cstheme="minorHAnsi"/>
          <w:b/>
          <w:color w:val="1481AB" w:themeColor="accent1" w:themeShade="BF"/>
          <w:sz w:val="24"/>
          <w:szCs w:val="24"/>
        </w:rPr>
      </w:pPr>
    </w:p>
    <w:p w:rsidR="00E77D1F" w:rsidRDefault="00E77D1F">
      <w:pPr>
        <w:spacing w:after="160" w:line="259" w:lineRule="auto"/>
        <w:rPr>
          <w:rFonts w:asciiTheme="minorHAnsi" w:hAnsiTheme="minorHAnsi" w:cstheme="minorHAnsi"/>
          <w:b/>
          <w:color w:val="FF0000"/>
          <w:sz w:val="28"/>
          <w:szCs w:val="28"/>
        </w:rPr>
      </w:pPr>
      <w:r>
        <w:rPr>
          <w:rFonts w:asciiTheme="minorHAnsi" w:hAnsiTheme="minorHAnsi" w:cstheme="minorHAnsi"/>
          <w:color w:val="FF0000"/>
          <w:sz w:val="28"/>
          <w:szCs w:val="28"/>
        </w:rPr>
        <w:br w:type="page"/>
      </w:r>
    </w:p>
    <w:p w:rsidR="00151092" w:rsidRPr="007B4568" w:rsidRDefault="007B4568" w:rsidP="00B8772C">
      <w:pPr>
        <w:pStyle w:val="Tblmat"/>
        <w:spacing w:line="360" w:lineRule="auto"/>
        <w:rPr>
          <w:rFonts w:asciiTheme="minorHAnsi" w:hAnsiTheme="minorHAnsi" w:cstheme="minorHAnsi"/>
          <w:color w:val="FF0000"/>
          <w:sz w:val="28"/>
          <w:szCs w:val="28"/>
        </w:rPr>
      </w:pPr>
      <w:r>
        <w:rPr>
          <w:rFonts w:asciiTheme="minorHAnsi" w:hAnsiTheme="minorHAnsi" w:cstheme="minorHAnsi"/>
          <w:color w:val="FF0000"/>
          <w:sz w:val="28"/>
          <w:szCs w:val="28"/>
        </w:rPr>
        <w:lastRenderedPageBreak/>
        <w:t>Sommaire</w:t>
      </w:r>
      <w:bookmarkStart w:id="0" w:name="_GoBack"/>
      <w:bookmarkEnd w:id="0"/>
    </w:p>
    <w:p w:rsidR="00F14EAD" w:rsidRDefault="000F60D0">
      <w:pPr>
        <w:pStyle w:val="TM1"/>
        <w:tabs>
          <w:tab w:val="left" w:pos="440"/>
          <w:tab w:val="right" w:leader="dot" w:pos="9060"/>
        </w:tabs>
        <w:rPr>
          <w:rFonts w:asciiTheme="minorHAnsi" w:eastAsiaTheme="minorEastAsia" w:hAnsiTheme="minorHAnsi" w:cstheme="minorBidi"/>
          <w:noProof/>
          <w:sz w:val="22"/>
          <w:lang w:eastAsia="fr-FR"/>
        </w:rPr>
      </w:pPr>
      <w:r w:rsidRPr="00B8772C">
        <w:rPr>
          <w:rFonts w:asciiTheme="minorHAnsi" w:hAnsiTheme="minorHAnsi" w:cstheme="minorHAnsi"/>
          <w:b/>
          <w:sz w:val="24"/>
          <w:szCs w:val="24"/>
        </w:rPr>
        <w:fldChar w:fldCharType="begin"/>
      </w:r>
      <w:r w:rsidR="00151092" w:rsidRPr="00A929CE">
        <w:rPr>
          <w:rFonts w:asciiTheme="minorHAnsi" w:hAnsiTheme="minorHAnsi" w:cstheme="minorHAnsi"/>
          <w:b/>
          <w:sz w:val="24"/>
          <w:szCs w:val="24"/>
        </w:rPr>
        <w:instrText xml:space="preserve"> TOC \o "1-5" \h \z \u </w:instrText>
      </w:r>
      <w:r w:rsidRPr="00B8772C">
        <w:rPr>
          <w:rFonts w:asciiTheme="minorHAnsi" w:hAnsiTheme="minorHAnsi" w:cstheme="minorHAnsi"/>
          <w:b/>
          <w:sz w:val="24"/>
          <w:szCs w:val="24"/>
        </w:rPr>
        <w:fldChar w:fldCharType="separate"/>
      </w:r>
      <w:hyperlink w:anchor="_Toc536448559" w:history="1">
        <w:r w:rsidR="00F14EAD" w:rsidRPr="008A09AB">
          <w:rPr>
            <w:rStyle w:val="Lienhypertexte"/>
            <w:rFonts w:cstheme="minorHAnsi"/>
            <w:noProof/>
          </w:rPr>
          <w:t>1</w:t>
        </w:r>
        <w:r w:rsidR="00F14EAD">
          <w:rPr>
            <w:rFonts w:asciiTheme="minorHAnsi" w:eastAsiaTheme="minorEastAsia" w:hAnsiTheme="minorHAnsi" w:cstheme="minorBidi"/>
            <w:noProof/>
            <w:sz w:val="22"/>
            <w:lang w:eastAsia="fr-FR"/>
          </w:rPr>
          <w:tab/>
        </w:r>
        <w:r w:rsidR="00F14EAD" w:rsidRPr="008A09AB">
          <w:rPr>
            <w:rStyle w:val="Lienhypertexte"/>
            <w:rFonts w:cstheme="minorHAnsi"/>
            <w:noProof/>
          </w:rPr>
          <w:t>RESUME EXECUTIF</w:t>
        </w:r>
        <w:r w:rsidR="00F14EAD">
          <w:rPr>
            <w:noProof/>
            <w:webHidden/>
          </w:rPr>
          <w:tab/>
        </w:r>
        <w:r w:rsidR="00F14EAD">
          <w:rPr>
            <w:noProof/>
            <w:webHidden/>
          </w:rPr>
          <w:fldChar w:fldCharType="begin"/>
        </w:r>
        <w:r w:rsidR="00F14EAD">
          <w:rPr>
            <w:noProof/>
            <w:webHidden/>
          </w:rPr>
          <w:instrText xml:space="preserve"> PAGEREF _Toc536448559 \h </w:instrText>
        </w:r>
        <w:r w:rsidR="00F14EAD">
          <w:rPr>
            <w:noProof/>
            <w:webHidden/>
          </w:rPr>
        </w:r>
        <w:r w:rsidR="00F14EAD">
          <w:rPr>
            <w:noProof/>
            <w:webHidden/>
          </w:rPr>
          <w:fldChar w:fldCharType="separate"/>
        </w:r>
        <w:r w:rsidR="00F14EAD">
          <w:rPr>
            <w:noProof/>
            <w:webHidden/>
          </w:rPr>
          <w:t>8</w:t>
        </w:r>
        <w:r w:rsidR="00F14EAD">
          <w:rPr>
            <w:noProof/>
            <w:webHidden/>
          </w:rPr>
          <w:fldChar w:fldCharType="end"/>
        </w:r>
      </w:hyperlink>
    </w:p>
    <w:p w:rsidR="00F14EAD" w:rsidRDefault="00F14EAD">
      <w:pPr>
        <w:pStyle w:val="TM2"/>
        <w:tabs>
          <w:tab w:val="left" w:pos="880"/>
          <w:tab w:val="right" w:leader="dot" w:pos="9060"/>
        </w:tabs>
        <w:rPr>
          <w:rFonts w:asciiTheme="minorHAnsi" w:eastAsiaTheme="minorEastAsia" w:hAnsiTheme="minorHAnsi" w:cstheme="minorBidi"/>
          <w:noProof/>
          <w:sz w:val="22"/>
          <w:lang w:eastAsia="fr-FR"/>
        </w:rPr>
      </w:pPr>
      <w:hyperlink w:anchor="_Toc536448560" w:history="1">
        <w:r w:rsidRPr="008A09AB">
          <w:rPr>
            <w:rStyle w:val="Lienhypertexte"/>
            <w:noProof/>
          </w:rPr>
          <w:t>1.1</w:t>
        </w:r>
        <w:r>
          <w:rPr>
            <w:rFonts w:asciiTheme="minorHAnsi" w:eastAsiaTheme="minorEastAsia" w:hAnsiTheme="minorHAnsi" w:cstheme="minorBidi"/>
            <w:noProof/>
            <w:sz w:val="22"/>
            <w:lang w:eastAsia="fr-FR"/>
          </w:rPr>
          <w:tab/>
        </w:r>
        <w:r w:rsidRPr="008A09AB">
          <w:rPr>
            <w:rStyle w:val="Lienhypertexte"/>
            <w:noProof/>
          </w:rPr>
          <w:t>Evaluation de la mise en œuvre de la PNA</w:t>
        </w:r>
        <w:r>
          <w:rPr>
            <w:noProof/>
            <w:webHidden/>
          </w:rPr>
          <w:tab/>
        </w:r>
        <w:r>
          <w:rPr>
            <w:noProof/>
            <w:webHidden/>
          </w:rPr>
          <w:fldChar w:fldCharType="begin"/>
        </w:r>
        <w:r>
          <w:rPr>
            <w:noProof/>
            <w:webHidden/>
          </w:rPr>
          <w:instrText xml:space="preserve"> PAGEREF _Toc536448560 \h </w:instrText>
        </w:r>
        <w:r>
          <w:rPr>
            <w:noProof/>
            <w:webHidden/>
          </w:rPr>
        </w:r>
        <w:r>
          <w:rPr>
            <w:noProof/>
            <w:webHidden/>
          </w:rPr>
          <w:fldChar w:fldCharType="separate"/>
        </w:r>
        <w:r>
          <w:rPr>
            <w:noProof/>
            <w:webHidden/>
          </w:rPr>
          <w:t>8</w:t>
        </w:r>
        <w:r>
          <w:rPr>
            <w:noProof/>
            <w:webHidden/>
          </w:rPr>
          <w:fldChar w:fldCharType="end"/>
        </w:r>
      </w:hyperlink>
    </w:p>
    <w:p w:rsidR="00F14EAD" w:rsidRDefault="00F14EAD">
      <w:pPr>
        <w:pStyle w:val="TM3"/>
        <w:tabs>
          <w:tab w:val="left" w:pos="1320"/>
          <w:tab w:val="right" w:leader="dot" w:pos="9060"/>
        </w:tabs>
        <w:rPr>
          <w:rFonts w:asciiTheme="minorHAnsi" w:eastAsiaTheme="minorEastAsia" w:hAnsiTheme="minorHAnsi" w:cstheme="minorBidi"/>
          <w:noProof/>
          <w:sz w:val="22"/>
          <w:lang w:eastAsia="fr-FR"/>
        </w:rPr>
      </w:pPr>
      <w:hyperlink w:anchor="_Toc536448561" w:history="1">
        <w:r w:rsidRPr="008A09AB">
          <w:rPr>
            <w:rStyle w:val="Lienhypertexte"/>
            <w:noProof/>
          </w:rPr>
          <w:t>1.1.1</w:t>
        </w:r>
        <w:r>
          <w:rPr>
            <w:rFonts w:asciiTheme="minorHAnsi" w:eastAsiaTheme="minorEastAsia" w:hAnsiTheme="minorHAnsi" w:cstheme="minorBidi"/>
            <w:noProof/>
            <w:sz w:val="22"/>
            <w:lang w:eastAsia="fr-FR"/>
          </w:rPr>
          <w:tab/>
        </w:r>
        <w:r w:rsidRPr="008A09AB">
          <w:rPr>
            <w:rStyle w:val="Lienhypertexte"/>
            <w:noProof/>
          </w:rPr>
          <w:t>Atteinte des résultats attendus de la mise en œuvre de la PNA</w:t>
        </w:r>
        <w:r>
          <w:rPr>
            <w:noProof/>
            <w:webHidden/>
          </w:rPr>
          <w:tab/>
        </w:r>
        <w:r>
          <w:rPr>
            <w:noProof/>
            <w:webHidden/>
          </w:rPr>
          <w:fldChar w:fldCharType="begin"/>
        </w:r>
        <w:r>
          <w:rPr>
            <w:noProof/>
            <w:webHidden/>
          </w:rPr>
          <w:instrText xml:space="preserve"> PAGEREF _Toc536448561 \h </w:instrText>
        </w:r>
        <w:r>
          <w:rPr>
            <w:noProof/>
            <w:webHidden/>
          </w:rPr>
        </w:r>
        <w:r>
          <w:rPr>
            <w:noProof/>
            <w:webHidden/>
          </w:rPr>
          <w:fldChar w:fldCharType="separate"/>
        </w:r>
        <w:r>
          <w:rPr>
            <w:noProof/>
            <w:webHidden/>
          </w:rPr>
          <w:t>8</w:t>
        </w:r>
        <w:r>
          <w:rPr>
            <w:noProof/>
            <w:webHidden/>
          </w:rPr>
          <w:fldChar w:fldCharType="end"/>
        </w:r>
      </w:hyperlink>
    </w:p>
    <w:p w:rsidR="00F14EAD" w:rsidRDefault="00F14EAD">
      <w:pPr>
        <w:pStyle w:val="TM3"/>
        <w:tabs>
          <w:tab w:val="left" w:pos="1320"/>
          <w:tab w:val="right" w:leader="dot" w:pos="9060"/>
        </w:tabs>
        <w:rPr>
          <w:rFonts w:asciiTheme="minorHAnsi" w:eastAsiaTheme="minorEastAsia" w:hAnsiTheme="minorHAnsi" w:cstheme="minorBidi"/>
          <w:noProof/>
          <w:sz w:val="22"/>
          <w:lang w:eastAsia="fr-FR"/>
        </w:rPr>
      </w:pPr>
      <w:hyperlink w:anchor="_Toc536448562" w:history="1">
        <w:r w:rsidRPr="008A09AB">
          <w:rPr>
            <w:rStyle w:val="Lienhypertexte"/>
            <w:noProof/>
          </w:rPr>
          <w:t>1.1.2</w:t>
        </w:r>
        <w:r>
          <w:rPr>
            <w:rFonts w:asciiTheme="minorHAnsi" w:eastAsiaTheme="minorEastAsia" w:hAnsiTheme="minorHAnsi" w:cstheme="minorBidi"/>
            <w:noProof/>
            <w:sz w:val="22"/>
            <w:lang w:eastAsia="fr-FR"/>
          </w:rPr>
          <w:tab/>
        </w:r>
        <w:r w:rsidRPr="008A09AB">
          <w:rPr>
            <w:rStyle w:val="Lienhypertexte"/>
            <w:noProof/>
          </w:rPr>
          <w:t>Du pilotage de la PNA</w:t>
        </w:r>
        <w:r>
          <w:rPr>
            <w:noProof/>
            <w:webHidden/>
          </w:rPr>
          <w:tab/>
        </w:r>
        <w:r>
          <w:rPr>
            <w:noProof/>
            <w:webHidden/>
          </w:rPr>
          <w:fldChar w:fldCharType="begin"/>
        </w:r>
        <w:r>
          <w:rPr>
            <w:noProof/>
            <w:webHidden/>
          </w:rPr>
          <w:instrText xml:space="preserve"> PAGEREF _Toc536448562 \h </w:instrText>
        </w:r>
        <w:r>
          <w:rPr>
            <w:noProof/>
            <w:webHidden/>
          </w:rPr>
        </w:r>
        <w:r>
          <w:rPr>
            <w:noProof/>
            <w:webHidden/>
          </w:rPr>
          <w:fldChar w:fldCharType="separate"/>
        </w:r>
        <w:r>
          <w:rPr>
            <w:noProof/>
            <w:webHidden/>
          </w:rPr>
          <w:t>8</w:t>
        </w:r>
        <w:r>
          <w:rPr>
            <w:noProof/>
            <w:webHidden/>
          </w:rPr>
          <w:fldChar w:fldCharType="end"/>
        </w:r>
      </w:hyperlink>
    </w:p>
    <w:p w:rsidR="00F14EAD" w:rsidRDefault="00F14EAD">
      <w:pPr>
        <w:pStyle w:val="TM3"/>
        <w:tabs>
          <w:tab w:val="left" w:pos="1320"/>
          <w:tab w:val="right" w:leader="dot" w:pos="9060"/>
        </w:tabs>
        <w:rPr>
          <w:rFonts w:asciiTheme="minorHAnsi" w:eastAsiaTheme="minorEastAsia" w:hAnsiTheme="minorHAnsi" w:cstheme="minorBidi"/>
          <w:noProof/>
          <w:sz w:val="22"/>
          <w:lang w:eastAsia="fr-FR"/>
        </w:rPr>
      </w:pPr>
      <w:hyperlink w:anchor="_Toc536448563" w:history="1">
        <w:r w:rsidRPr="008A09AB">
          <w:rPr>
            <w:rStyle w:val="Lienhypertexte"/>
            <w:noProof/>
          </w:rPr>
          <w:t>1.1.3</w:t>
        </w:r>
        <w:r>
          <w:rPr>
            <w:rFonts w:asciiTheme="minorHAnsi" w:eastAsiaTheme="minorEastAsia" w:hAnsiTheme="minorHAnsi" w:cstheme="minorBidi"/>
            <w:noProof/>
            <w:sz w:val="22"/>
            <w:lang w:eastAsia="fr-FR"/>
          </w:rPr>
          <w:tab/>
        </w:r>
        <w:r w:rsidRPr="008A09AB">
          <w:rPr>
            <w:rStyle w:val="Lienhypertexte"/>
            <w:rFonts w:cstheme="minorHAnsi"/>
            <w:noProof/>
          </w:rPr>
          <w:t xml:space="preserve">Appréciation du </w:t>
        </w:r>
        <w:r w:rsidRPr="008A09AB">
          <w:rPr>
            <w:rStyle w:val="Lienhypertexte"/>
            <w:noProof/>
          </w:rPr>
          <w:t>Suivi-évaluation de la PNA et des 5 stratégies sous-sectorielles</w:t>
        </w:r>
        <w:r>
          <w:rPr>
            <w:noProof/>
            <w:webHidden/>
          </w:rPr>
          <w:tab/>
        </w:r>
        <w:r>
          <w:rPr>
            <w:noProof/>
            <w:webHidden/>
          </w:rPr>
          <w:fldChar w:fldCharType="begin"/>
        </w:r>
        <w:r>
          <w:rPr>
            <w:noProof/>
            <w:webHidden/>
          </w:rPr>
          <w:instrText xml:space="preserve"> PAGEREF _Toc536448563 \h </w:instrText>
        </w:r>
        <w:r>
          <w:rPr>
            <w:noProof/>
            <w:webHidden/>
          </w:rPr>
        </w:r>
        <w:r>
          <w:rPr>
            <w:noProof/>
            <w:webHidden/>
          </w:rPr>
          <w:fldChar w:fldCharType="separate"/>
        </w:r>
        <w:r>
          <w:rPr>
            <w:noProof/>
            <w:webHidden/>
          </w:rPr>
          <w:t>9</w:t>
        </w:r>
        <w:r>
          <w:rPr>
            <w:noProof/>
            <w:webHidden/>
          </w:rPr>
          <w:fldChar w:fldCharType="end"/>
        </w:r>
      </w:hyperlink>
    </w:p>
    <w:p w:rsidR="00F14EAD" w:rsidRDefault="00F14EAD">
      <w:pPr>
        <w:pStyle w:val="TM3"/>
        <w:tabs>
          <w:tab w:val="left" w:pos="1320"/>
          <w:tab w:val="right" w:leader="dot" w:pos="9060"/>
        </w:tabs>
        <w:rPr>
          <w:rFonts w:asciiTheme="minorHAnsi" w:eastAsiaTheme="minorEastAsia" w:hAnsiTheme="minorHAnsi" w:cstheme="minorBidi"/>
          <w:noProof/>
          <w:sz w:val="22"/>
          <w:lang w:eastAsia="fr-FR"/>
        </w:rPr>
      </w:pPr>
      <w:hyperlink w:anchor="_Toc536448564" w:history="1">
        <w:r w:rsidRPr="008A09AB">
          <w:rPr>
            <w:rStyle w:val="Lienhypertexte"/>
            <w:noProof/>
          </w:rPr>
          <w:t>1.1.4</w:t>
        </w:r>
        <w:r>
          <w:rPr>
            <w:rFonts w:asciiTheme="minorHAnsi" w:eastAsiaTheme="minorEastAsia" w:hAnsiTheme="minorHAnsi" w:cstheme="minorBidi"/>
            <w:noProof/>
            <w:sz w:val="22"/>
            <w:lang w:eastAsia="fr-FR"/>
          </w:rPr>
          <w:tab/>
        </w:r>
        <w:r w:rsidRPr="008A09AB">
          <w:rPr>
            <w:rStyle w:val="Lienhypertexte"/>
            <w:noProof/>
          </w:rPr>
          <w:t>Appréciation des axes d’orientation de la PNA</w:t>
        </w:r>
        <w:r>
          <w:rPr>
            <w:noProof/>
            <w:webHidden/>
          </w:rPr>
          <w:tab/>
        </w:r>
        <w:r>
          <w:rPr>
            <w:noProof/>
            <w:webHidden/>
          </w:rPr>
          <w:fldChar w:fldCharType="begin"/>
        </w:r>
        <w:r>
          <w:rPr>
            <w:noProof/>
            <w:webHidden/>
          </w:rPr>
          <w:instrText xml:space="preserve"> PAGEREF _Toc536448564 \h </w:instrText>
        </w:r>
        <w:r>
          <w:rPr>
            <w:noProof/>
            <w:webHidden/>
          </w:rPr>
        </w:r>
        <w:r>
          <w:rPr>
            <w:noProof/>
            <w:webHidden/>
          </w:rPr>
          <w:fldChar w:fldCharType="separate"/>
        </w:r>
        <w:r>
          <w:rPr>
            <w:noProof/>
            <w:webHidden/>
          </w:rPr>
          <w:t>10</w:t>
        </w:r>
        <w:r>
          <w:rPr>
            <w:noProof/>
            <w:webHidden/>
          </w:rPr>
          <w:fldChar w:fldCharType="end"/>
        </w:r>
      </w:hyperlink>
    </w:p>
    <w:p w:rsidR="00F14EAD" w:rsidRDefault="00F14EAD">
      <w:pPr>
        <w:pStyle w:val="TM3"/>
        <w:tabs>
          <w:tab w:val="left" w:pos="1320"/>
          <w:tab w:val="right" w:leader="dot" w:pos="9060"/>
        </w:tabs>
        <w:rPr>
          <w:rFonts w:asciiTheme="minorHAnsi" w:eastAsiaTheme="minorEastAsia" w:hAnsiTheme="minorHAnsi" w:cstheme="minorBidi"/>
          <w:noProof/>
          <w:sz w:val="22"/>
          <w:lang w:eastAsia="fr-FR"/>
        </w:rPr>
      </w:pPr>
      <w:hyperlink w:anchor="_Toc536448565" w:history="1">
        <w:r w:rsidRPr="008A09AB">
          <w:rPr>
            <w:rStyle w:val="Lienhypertexte"/>
            <w:noProof/>
          </w:rPr>
          <w:t>1.1.5</w:t>
        </w:r>
        <w:r>
          <w:rPr>
            <w:rFonts w:asciiTheme="minorHAnsi" w:eastAsiaTheme="minorEastAsia" w:hAnsiTheme="minorHAnsi" w:cstheme="minorBidi"/>
            <w:noProof/>
            <w:sz w:val="22"/>
            <w:lang w:eastAsia="fr-FR"/>
          </w:rPr>
          <w:tab/>
        </w:r>
        <w:r w:rsidRPr="008A09AB">
          <w:rPr>
            <w:rStyle w:val="Lienhypertexte"/>
            <w:noProof/>
          </w:rPr>
          <w:t>Evaluation selon les critères du Comité d’Aide au Développement (CAD)</w:t>
        </w:r>
        <w:r>
          <w:rPr>
            <w:noProof/>
            <w:webHidden/>
          </w:rPr>
          <w:tab/>
        </w:r>
        <w:r>
          <w:rPr>
            <w:noProof/>
            <w:webHidden/>
          </w:rPr>
          <w:fldChar w:fldCharType="begin"/>
        </w:r>
        <w:r>
          <w:rPr>
            <w:noProof/>
            <w:webHidden/>
          </w:rPr>
          <w:instrText xml:space="preserve"> PAGEREF _Toc536448565 \h </w:instrText>
        </w:r>
        <w:r>
          <w:rPr>
            <w:noProof/>
            <w:webHidden/>
          </w:rPr>
        </w:r>
        <w:r>
          <w:rPr>
            <w:noProof/>
            <w:webHidden/>
          </w:rPr>
          <w:fldChar w:fldCharType="separate"/>
        </w:r>
        <w:r>
          <w:rPr>
            <w:noProof/>
            <w:webHidden/>
          </w:rPr>
          <w:t>11</w:t>
        </w:r>
        <w:r>
          <w:rPr>
            <w:noProof/>
            <w:webHidden/>
          </w:rPr>
          <w:fldChar w:fldCharType="end"/>
        </w:r>
      </w:hyperlink>
    </w:p>
    <w:p w:rsidR="00F14EAD" w:rsidRDefault="00F14EAD">
      <w:pPr>
        <w:pStyle w:val="TM4"/>
        <w:tabs>
          <w:tab w:val="left" w:pos="1540"/>
          <w:tab w:val="right" w:leader="dot" w:pos="9060"/>
        </w:tabs>
        <w:rPr>
          <w:rFonts w:asciiTheme="minorHAnsi" w:eastAsiaTheme="minorEastAsia" w:hAnsiTheme="minorHAnsi" w:cstheme="minorBidi"/>
          <w:noProof/>
          <w:sz w:val="22"/>
          <w:lang w:eastAsia="fr-FR"/>
        </w:rPr>
      </w:pPr>
      <w:hyperlink w:anchor="_Toc536448566" w:history="1">
        <w:r w:rsidRPr="008A09AB">
          <w:rPr>
            <w:rStyle w:val="Lienhypertexte"/>
            <w:noProof/>
          </w:rPr>
          <w:t>1.1.5.1</w:t>
        </w:r>
        <w:r>
          <w:rPr>
            <w:rFonts w:asciiTheme="minorHAnsi" w:eastAsiaTheme="minorEastAsia" w:hAnsiTheme="minorHAnsi" w:cstheme="minorBidi"/>
            <w:noProof/>
            <w:sz w:val="22"/>
            <w:lang w:eastAsia="fr-FR"/>
          </w:rPr>
          <w:tab/>
        </w:r>
        <w:r w:rsidRPr="008A09AB">
          <w:rPr>
            <w:rStyle w:val="Lienhypertexte"/>
            <w:noProof/>
          </w:rPr>
          <w:t>La pertinence</w:t>
        </w:r>
        <w:r>
          <w:rPr>
            <w:noProof/>
            <w:webHidden/>
          </w:rPr>
          <w:tab/>
        </w:r>
        <w:r>
          <w:rPr>
            <w:noProof/>
            <w:webHidden/>
          </w:rPr>
          <w:fldChar w:fldCharType="begin"/>
        </w:r>
        <w:r>
          <w:rPr>
            <w:noProof/>
            <w:webHidden/>
          </w:rPr>
          <w:instrText xml:space="preserve"> PAGEREF _Toc536448566 \h </w:instrText>
        </w:r>
        <w:r>
          <w:rPr>
            <w:noProof/>
            <w:webHidden/>
          </w:rPr>
        </w:r>
        <w:r>
          <w:rPr>
            <w:noProof/>
            <w:webHidden/>
          </w:rPr>
          <w:fldChar w:fldCharType="separate"/>
        </w:r>
        <w:r>
          <w:rPr>
            <w:noProof/>
            <w:webHidden/>
          </w:rPr>
          <w:t>11</w:t>
        </w:r>
        <w:r>
          <w:rPr>
            <w:noProof/>
            <w:webHidden/>
          </w:rPr>
          <w:fldChar w:fldCharType="end"/>
        </w:r>
      </w:hyperlink>
    </w:p>
    <w:p w:rsidR="00F14EAD" w:rsidRDefault="00F14EAD">
      <w:pPr>
        <w:pStyle w:val="TM4"/>
        <w:tabs>
          <w:tab w:val="left" w:pos="1540"/>
          <w:tab w:val="right" w:leader="dot" w:pos="9060"/>
        </w:tabs>
        <w:rPr>
          <w:rFonts w:asciiTheme="minorHAnsi" w:eastAsiaTheme="minorEastAsia" w:hAnsiTheme="minorHAnsi" w:cstheme="minorBidi"/>
          <w:noProof/>
          <w:sz w:val="22"/>
          <w:lang w:eastAsia="fr-FR"/>
        </w:rPr>
      </w:pPr>
      <w:hyperlink w:anchor="_Toc536448567" w:history="1">
        <w:r w:rsidRPr="008A09AB">
          <w:rPr>
            <w:rStyle w:val="Lienhypertexte"/>
            <w:noProof/>
          </w:rPr>
          <w:t>1.1.5.2</w:t>
        </w:r>
        <w:r>
          <w:rPr>
            <w:rFonts w:asciiTheme="minorHAnsi" w:eastAsiaTheme="minorEastAsia" w:hAnsiTheme="minorHAnsi" w:cstheme="minorBidi"/>
            <w:noProof/>
            <w:sz w:val="22"/>
            <w:lang w:eastAsia="fr-FR"/>
          </w:rPr>
          <w:tab/>
        </w:r>
        <w:r w:rsidRPr="008A09AB">
          <w:rPr>
            <w:rStyle w:val="Lienhypertexte"/>
            <w:noProof/>
          </w:rPr>
          <w:t>L’efficacité</w:t>
        </w:r>
        <w:r>
          <w:rPr>
            <w:noProof/>
            <w:webHidden/>
          </w:rPr>
          <w:tab/>
        </w:r>
        <w:r>
          <w:rPr>
            <w:noProof/>
            <w:webHidden/>
          </w:rPr>
          <w:fldChar w:fldCharType="begin"/>
        </w:r>
        <w:r>
          <w:rPr>
            <w:noProof/>
            <w:webHidden/>
          </w:rPr>
          <w:instrText xml:space="preserve"> PAGEREF _Toc536448567 \h </w:instrText>
        </w:r>
        <w:r>
          <w:rPr>
            <w:noProof/>
            <w:webHidden/>
          </w:rPr>
        </w:r>
        <w:r>
          <w:rPr>
            <w:noProof/>
            <w:webHidden/>
          </w:rPr>
          <w:fldChar w:fldCharType="separate"/>
        </w:r>
        <w:r>
          <w:rPr>
            <w:noProof/>
            <w:webHidden/>
          </w:rPr>
          <w:t>11</w:t>
        </w:r>
        <w:r>
          <w:rPr>
            <w:noProof/>
            <w:webHidden/>
          </w:rPr>
          <w:fldChar w:fldCharType="end"/>
        </w:r>
      </w:hyperlink>
    </w:p>
    <w:p w:rsidR="00F14EAD" w:rsidRDefault="00F14EAD">
      <w:pPr>
        <w:pStyle w:val="TM4"/>
        <w:tabs>
          <w:tab w:val="left" w:pos="1540"/>
          <w:tab w:val="right" w:leader="dot" w:pos="9060"/>
        </w:tabs>
        <w:rPr>
          <w:rFonts w:asciiTheme="minorHAnsi" w:eastAsiaTheme="minorEastAsia" w:hAnsiTheme="minorHAnsi" w:cstheme="minorBidi"/>
          <w:noProof/>
          <w:sz w:val="22"/>
          <w:lang w:eastAsia="fr-FR"/>
        </w:rPr>
      </w:pPr>
      <w:hyperlink w:anchor="_Toc536448568" w:history="1">
        <w:r w:rsidRPr="008A09AB">
          <w:rPr>
            <w:rStyle w:val="Lienhypertexte"/>
            <w:noProof/>
          </w:rPr>
          <w:t>1.1.5.3</w:t>
        </w:r>
        <w:r>
          <w:rPr>
            <w:rFonts w:asciiTheme="minorHAnsi" w:eastAsiaTheme="minorEastAsia" w:hAnsiTheme="minorHAnsi" w:cstheme="minorBidi"/>
            <w:noProof/>
            <w:sz w:val="22"/>
            <w:lang w:eastAsia="fr-FR"/>
          </w:rPr>
          <w:tab/>
        </w:r>
        <w:r w:rsidRPr="008A09AB">
          <w:rPr>
            <w:rStyle w:val="Lienhypertexte"/>
            <w:noProof/>
          </w:rPr>
          <w:t>L’efficience</w:t>
        </w:r>
        <w:r>
          <w:rPr>
            <w:noProof/>
            <w:webHidden/>
          </w:rPr>
          <w:tab/>
        </w:r>
        <w:r>
          <w:rPr>
            <w:noProof/>
            <w:webHidden/>
          </w:rPr>
          <w:fldChar w:fldCharType="begin"/>
        </w:r>
        <w:r>
          <w:rPr>
            <w:noProof/>
            <w:webHidden/>
          </w:rPr>
          <w:instrText xml:space="preserve"> PAGEREF _Toc536448568 \h </w:instrText>
        </w:r>
        <w:r>
          <w:rPr>
            <w:noProof/>
            <w:webHidden/>
          </w:rPr>
        </w:r>
        <w:r>
          <w:rPr>
            <w:noProof/>
            <w:webHidden/>
          </w:rPr>
          <w:fldChar w:fldCharType="separate"/>
        </w:r>
        <w:r>
          <w:rPr>
            <w:noProof/>
            <w:webHidden/>
          </w:rPr>
          <w:t>12</w:t>
        </w:r>
        <w:r>
          <w:rPr>
            <w:noProof/>
            <w:webHidden/>
          </w:rPr>
          <w:fldChar w:fldCharType="end"/>
        </w:r>
      </w:hyperlink>
    </w:p>
    <w:p w:rsidR="00F14EAD" w:rsidRDefault="00F14EAD">
      <w:pPr>
        <w:pStyle w:val="TM4"/>
        <w:tabs>
          <w:tab w:val="left" w:pos="1540"/>
          <w:tab w:val="right" w:leader="dot" w:pos="9060"/>
        </w:tabs>
        <w:rPr>
          <w:rFonts w:asciiTheme="minorHAnsi" w:eastAsiaTheme="minorEastAsia" w:hAnsiTheme="minorHAnsi" w:cstheme="minorBidi"/>
          <w:noProof/>
          <w:sz w:val="22"/>
          <w:lang w:eastAsia="fr-FR"/>
        </w:rPr>
      </w:pPr>
      <w:hyperlink w:anchor="_Toc536448569" w:history="1">
        <w:r w:rsidRPr="008A09AB">
          <w:rPr>
            <w:rStyle w:val="Lienhypertexte"/>
            <w:noProof/>
          </w:rPr>
          <w:t>1.1.5.4</w:t>
        </w:r>
        <w:r>
          <w:rPr>
            <w:rFonts w:asciiTheme="minorHAnsi" w:eastAsiaTheme="minorEastAsia" w:hAnsiTheme="minorHAnsi" w:cstheme="minorBidi"/>
            <w:noProof/>
            <w:sz w:val="22"/>
            <w:lang w:eastAsia="fr-FR"/>
          </w:rPr>
          <w:tab/>
        </w:r>
        <w:r w:rsidRPr="008A09AB">
          <w:rPr>
            <w:rStyle w:val="Lienhypertexte"/>
            <w:noProof/>
          </w:rPr>
          <w:t>Les effets et impacts</w:t>
        </w:r>
        <w:r>
          <w:rPr>
            <w:noProof/>
            <w:webHidden/>
          </w:rPr>
          <w:tab/>
        </w:r>
        <w:r>
          <w:rPr>
            <w:noProof/>
            <w:webHidden/>
          </w:rPr>
          <w:fldChar w:fldCharType="begin"/>
        </w:r>
        <w:r>
          <w:rPr>
            <w:noProof/>
            <w:webHidden/>
          </w:rPr>
          <w:instrText xml:space="preserve"> PAGEREF _Toc536448569 \h </w:instrText>
        </w:r>
        <w:r>
          <w:rPr>
            <w:noProof/>
            <w:webHidden/>
          </w:rPr>
        </w:r>
        <w:r>
          <w:rPr>
            <w:noProof/>
            <w:webHidden/>
          </w:rPr>
          <w:fldChar w:fldCharType="separate"/>
        </w:r>
        <w:r>
          <w:rPr>
            <w:noProof/>
            <w:webHidden/>
          </w:rPr>
          <w:t>13</w:t>
        </w:r>
        <w:r>
          <w:rPr>
            <w:noProof/>
            <w:webHidden/>
          </w:rPr>
          <w:fldChar w:fldCharType="end"/>
        </w:r>
      </w:hyperlink>
    </w:p>
    <w:p w:rsidR="00F14EAD" w:rsidRDefault="00F14EAD">
      <w:pPr>
        <w:pStyle w:val="TM4"/>
        <w:tabs>
          <w:tab w:val="left" w:pos="1540"/>
          <w:tab w:val="right" w:leader="dot" w:pos="9060"/>
        </w:tabs>
        <w:rPr>
          <w:rFonts w:asciiTheme="minorHAnsi" w:eastAsiaTheme="minorEastAsia" w:hAnsiTheme="minorHAnsi" w:cstheme="minorBidi"/>
          <w:noProof/>
          <w:sz w:val="22"/>
          <w:lang w:eastAsia="fr-FR"/>
        </w:rPr>
      </w:pPr>
      <w:hyperlink w:anchor="_Toc536448570" w:history="1">
        <w:r w:rsidRPr="008A09AB">
          <w:rPr>
            <w:rStyle w:val="Lienhypertexte"/>
            <w:noProof/>
          </w:rPr>
          <w:t>1.1.5.5</w:t>
        </w:r>
        <w:r>
          <w:rPr>
            <w:rFonts w:asciiTheme="minorHAnsi" w:eastAsiaTheme="minorEastAsia" w:hAnsiTheme="minorHAnsi" w:cstheme="minorBidi"/>
            <w:noProof/>
            <w:sz w:val="22"/>
            <w:lang w:eastAsia="fr-FR"/>
          </w:rPr>
          <w:tab/>
        </w:r>
        <w:r w:rsidRPr="008A09AB">
          <w:rPr>
            <w:rStyle w:val="Lienhypertexte"/>
            <w:noProof/>
          </w:rPr>
          <w:t>La durabilité/viabilité</w:t>
        </w:r>
        <w:r>
          <w:rPr>
            <w:noProof/>
            <w:webHidden/>
          </w:rPr>
          <w:tab/>
        </w:r>
        <w:r>
          <w:rPr>
            <w:noProof/>
            <w:webHidden/>
          </w:rPr>
          <w:fldChar w:fldCharType="begin"/>
        </w:r>
        <w:r>
          <w:rPr>
            <w:noProof/>
            <w:webHidden/>
          </w:rPr>
          <w:instrText xml:space="preserve"> PAGEREF _Toc536448570 \h </w:instrText>
        </w:r>
        <w:r>
          <w:rPr>
            <w:noProof/>
            <w:webHidden/>
          </w:rPr>
        </w:r>
        <w:r>
          <w:rPr>
            <w:noProof/>
            <w:webHidden/>
          </w:rPr>
          <w:fldChar w:fldCharType="separate"/>
        </w:r>
        <w:r>
          <w:rPr>
            <w:noProof/>
            <w:webHidden/>
          </w:rPr>
          <w:t>13</w:t>
        </w:r>
        <w:r>
          <w:rPr>
            <w:noProof/>
            <w:webHidden/>
          </w:rPr>
          <w:fldChar w:fldCharType="end"/>
        </w:r>
      </w:hyperlink>
    </w:p>
    <w:p w:rsidR="00F14EAD" w:rsidRDefault="00F14EAD">
      <w:pPr>
        <w:pStyle w:val="TM2"/>
        <w:tabs>
          <w:tab w:val="left" w:pos="880"/>
          <w:tab w:val="right" w:leader="dot" w:pos="9060"/>
        </w:tabs>
        <w:rPr>
          <w:rFonts w:asciiTheme="minorHAnsi" w:eastAsiaTheme="minorEastAsia" w:hAnsiTheme="minorHAnsi" w:cstheme="minorBidi"/>
          <w:noProof/>
          <w:sz w:val="22"/>
          <w:lang w:eastAsia="fr-FR"/>
        </w:rPr>
      </w:pPr>
      <w:hyperlink w:anchor="_Toc536448571" w:history="1">
        <w:r w:rsidRPr="008A09AB">
          <w:rPr>
            <w:rStyle w:val="Lienhypertexte"/>
            <w:rFonts w:eastAsia="Calibri"/>
            <w:noProof/>
          </w:rPr>
          <w:t>1.2</w:t>
        </w:r>
        <w:r>
          <w:rPr>
            <w:rFonts w:asciiTheme="minorHAnsi" w:eastAsiaTheme="minorEastAsia" w:hAnsiTheme="minorHAnsi" w:cstheme="minorBidi"/>
            <w:noProof/>
            <w:sz w:val="22"/>
            <w:lang w:eastAsia="fr-FR"/>
          </w:rPr>
          <w:tab/>
        </w:r>
        <w:r w:rsidRPr="008A09AB">
          <w:rPr>
            <w:rStyle w:val="Lienhypertexte"/>
            <w:rFonts w:eastAsia="Calibri"/>
            <w:noProof/>
          </w:rPr>
          <w:t>Diagnostic du sous-secteur de l’assainissement</w:t>
        </w:r>
        <w:r>
          <w:rPr>
            <w:noProof/>
            <w:webHidden/>
          </w:rPr>
          <w:tab/>
        </w:r>
        <w:r>
          <w:rPr>
            <w:noProof/>
            <w:webHidden/>
          </w:rPr>
          <w:fldChar w:fldCharType="begin"/>
        </w:r>
        <w:r>
          <w:rPr>
            <w:noProof/>
            <w:webHidden/>
          </w:rPr>
          <w:instrText xml:space="preserve"> PAGEREF _Toc536448571 \h </w:instrText>
        </w:r>
        <w:r>
          <w:rPr>
            <w:noProof/>
            <w:webHidden/>
          </w:rPr>
        </w:r>
        <w:r>
          <w:rPr>
            <w:noProof/>
            <w:webHidden/>
          </w:rPr>
          <w:fldChar w:fldCharType="separate"/>
        </w:r>
        <w:r>
          <w:rPr>
            <w:noProof/>
            <w:webHidden/>
          </w:rPr>
          <w:t>13</w:t>
        </w:r>
        <w:r>
          <w:rPr>
            <w:noProof/>
            <w:webHidden/>
          </w:rPr>
          <w:fldChar w:fldCharType="end"/>
        </w:r>
      </w:hyperlink>
    </w:p>
    <w:p w:rsidR="00F14EAD" w:rsidRDefault="00F14EAD">
      <w:pPr>
        <w:pStyle w:val="TM3"/>
        <w:tabs>
          <w:tab w:val="left" w:pos="1320"/>
          <w:tab w:val="right" w:leader="dot" w:pos="9060"/>
        </w:tabs>
        <w:rPr>
          <w:rFonts w:asciiTheme="minorHAnsi" w:eastAsiaTheme="minorEastAsia" w:hAnsiTheme="minorHAnsi" w:cstheme="minorBidi"/>
          <w:noProof/>
          <w:sz w:val="22"/>
          <w:lang w:eastAsia="fr-FR"/>
        </w:rPr>
      </w:pPr>
      <w:hyperlink w:anchor="_Toc536448572" w:history="1">
        <w:r w:rsidRPr="008A09AB">
          <w:rPr>
            <w:rStyle w:val="Lienhypertexte"/>
            <w:noProof/>
          </w:rPr>
          <w:t>1.2.1</w:t>
        </w:r>
        <w:r>
          <w:rPr>
            <w:rFonts w:asciiTheme="minorHAnsi" w:eastAsiaTheme="minorEastAsia" w:hAnsiTheme="minorHAnsi" w:cstheme="minorBidi"/>
            <w:noProof/>
            <w:sz w:val="22"/>
            <w:lang w:eastAsia="fr-FR"/>
          </w:rPr>
          <w:tab/>
        </w:r>
        <w:r w:rsidRPr="008A09AB">
          <w:rPr>
            <w:rStyle w:val="Lienhypertexte"/>
            <w:noProof/>
          </w:rPr>
          <w:t>La gestion des déchets solides</w:t>
        </w:r>
        <w:r>
          <w:rPr>
            <w:noProof/>
            <w:webHidden/>
          </w:rPr>
          <w:tab/>
        </w:r>
        <w:r>
          <w:rPr>
            <w:noProof/>
            <w:webHidden/>
          </w:rPr>
          <w:fldChar w:fldCharType="begin"/>
        </w:r>
        <w:r>
          <w:rPr>
            <w:noProof/>
            <w:webHidden/>
          </w:rPr>
          <w:instrText xml:space="preserve"> PAGEREF _Toc536448572 \h </w:instrText>
        </w:r>
        <w:r>
          <w:rPr>
            <w:noProof/>
            <w:webHidden/>
          </w:rPr>
        </w:r>
        <w:r>
          <w:rPr>
            <w:noProof/>
            <w:webHidden/>
          </w:rPr>
          <w:fldChar w:fldCharType="separate"/>
        </w:r>
        <w:r>
          <w:rPr>
            <w:noProof/>
            <w:webHidden/>
          </w:rPr>
          <w:t>13</w:t>
        </w:r>
        <w:r>
          <w:rPr>
            <w:noProof/>
            <w:webHidden/>
          </w:rPr>
          <w:fldChar w:fldCharType="end"/>
        </w:r>
      </w:hyperlink>
    </w:p>
    <w:p w:rsidR="00F14EAD" w:rsidRDefault="00F14EAD">
      <w:pPr>
        <w:pStyle w:val="TM3"/>
        <w:tabs>
          <w:tab w:val="left" w:pos="1320"/>
          <w:tab w:val="right" w:leader="dot" w:pos="9060"/>
        </w:tabs>
        <w:rPr>
          <w:rFonts w:asciiTheme="minorHAnsi" w:eastAsiaTheme="minorEastAsia" w:hAnsiTheme="minorHAnsi" w:cstheme="minorBidi"/>
          <w:noProof/>
          <w:sz w:val="22"/>
          <w:lang w:eastAsia="fr-FR"/>
        </w:rPr>
      </w:pPr>
      <w:hyperlink w:anchor="_Toc536448573" w:history="1">
        <w:r w:rsidRPr="008A09AB">
          <w:rPr>
            <w:rStyle w:val="Lienhypertexte"/>
            <w:noProof/>
          </w:rPr>
          <w:t>1.2.2</w:t>
        </w:r>
        <w:r>
          <w:rPr>
            <w:rFonts w:asciiTheme="minorHAnsi" w:eastAsiaTheme="minorEastAsia" w:hAnsiTheme="minorHAnsi" w:cstheme="minorBidi"/>
            <w:noProof/>
            <w:sz w:val="22"/>
            <w:lang w:eastAsia="fr-FR"/>
          </w:rPr>
          <w:tab/>
        </w:r>
        <w:r w:rsidRPr="008A09AB">
          <w:rPr>
            <w:rStyle w:val="Lienhypertexte"/>
            <w:noProof/>
          </w:rPr>
          <w:t>Gestion des déchets liquides</w:t>
        </w:r>
        <w:r>
          <w:rPr>
            <w:noProof/>
            <w:webHidden/>
          </w:rPr>
          <w:tab/>
        </w:r>
        <w:r>
          <w:rPr>
            <w:noProof/>
            <w:webHidden/>
          </w:rPr>
          <w:fldChar w:fldCharType="begin"/>
        </w:r>
        <w:r>
          <w:rPr>
            <w:noProof/>
            <w:webHidden/>
          </w:rPr>
          <w:instrText xml:space="preserve"> PAGEREF _Toc536448573 \h </w:instrText>
        </w:r>
        <w:r>
          <w:rPr>
            <w:noProof/>
            <w:webHidden/>
          </w:rPr>
        </w:r>
        <w:r>
          <w:rPr>
            <w:noProof/>
            <w:webHidden/>
          </w:rPr>
          <w:fldChar w:fldCharType="separate"/>
        </w:r>
        <w:r>
          <w:rPr>
            <w:noProof/>
            <w:webHidden/>
          </w:rPr>
          <w:t>13</w:t>
        </w:r>
        <w:r>
          <w:rPr>
            <w:noProof/>
            <w:webHidden/>
          </w:rPr>
          <w:fldChar w:fldCharType="end"/>
        </w:r>
      </w:hyperlink>
    </w:p>
    <w:p w:rsidR="00F14EAD" w:rsidRDefault="00F14EAD">
      <w:pPr>
        <w:pStyle w:val="TM3"/>
        <w:tabs>
          <w:tab w:val="left" w:pos="1320"/>
          <w:tab w:val="right" w:leader="dot" w:pos="9060"/>
        </w:tabs>
        <w:rPr>
          <w:rFonts w:asciiTheme="minorHAnsi" w:eastAsiaTheme="minorEastAsia" w:hAnsiTheme="minorHAnsi" w:cstheme="minorBidi"/>
          <w:noProof/>
          <w:sz w:val="22"/>
          <w:lang w:eastAsia="fr-FR"/>
        </w:rPr>
      </w:pPr>
      <w:hyperlink w:anchor="_Toc536448574" w:history="1">
        <w:r w:rsidRPr="008A09AB">
          <w:rPr>
            <w:rStyle w:val="Lienhypertexte"/>
            <w:noProof/>
          </w:rPr>
          <w:t>1.2.3</w:t>
        </w:r>
        <w:r>
          <w:rPr>
            <w:rFonts w:asciiTheme="minorHAnsi" w:eastAsiaTheme="minorEastAsia" w:hAnsiTheme="minorHAnsi" w:cstheme="minorBidi"/>
            <w:noProof/>
            <w:sz w:val="22"/>
            <w:lang w:eastAsia="fr-FR"/>
          </w:rPr>
          <w:tab/>
        </w:r>
        <w:r w:rsidRPr="008A09AB">
          <w:rPr>
            <w:rStyle w:val="Lienhypertexte"/>
            <w:noProof/>
          </w:rPr>
          <w:t>Gestion des eaux pluviales</w:t>
        </w:r>
        <w:r>
          <w:rPr>
            <w:noProof/>
            <w:webHidden/>
          </w:rPr>
          <w:tab/>
        </w:r>
        <w:r>
          <w:rPr>
            <w:noProof/>
            <w:webHidden/>
          </w:rPr>
          <w:fldChar w:fldCharType="begin"/>
        </w:r>
        <w:r>
          <w:rPr>
            <w:noProof/>
            <w:webHidden/>
          </w:rPr>
          <w:instrText xml:space="preserve"> PAGEREF _Toc536448574 \h </w:instrText>
        </w:r>
        <w:r>
          <w:rPr>
            <w:noProof/>
            <w:webHidden/>
          </w:rPr>
        </w:r>
        <w:r>
          <w:rPr>
            <w:noProof/>
            <w:webHidden/>
          </w:rPr>
          <w:fldChar w:fldCharType="separate"/>
        </w:r>
        <w:r>
          <w:rPr>
            <w:noProof/>
            <w:webHidden/>
          </w:rPr>
          <w:t>14</w:t>
        </w:r>
        <w:r>
          <w:rPr>
            <w:noProof/>
            <w:webHidden/>
          </w:rPr>
          <w:fldChar w:fldCharType="end"/>
        </w:r>
      </w:hyperlink>
    </w:p>
    <w:p w:rsidR="00F14EAD" w:rsidRDefault="00F14EAD">
      <w:pPr>
        <w:pStyle w:val="TM3"/>
        <w:tabs>
          <w:tab w:val="left" w:pos="1320"/>
          <w:tab w:val="right" w:leader="dot" w:pos="9060"/>
        </w:tabs>
        <w:rPr>
          <w:rFonts w:asciiTheme="minorHAnsi" w:eastAsiaTheme="minorEastAsia" w:hAnsiTheme="minorHAnsi" w:cstheme="minorBidi"/>
          <w:noProof/>
          <w:sz w:val="22"/>
          <w:lang w:eastAsia="fr-FR"/>
        </w:rPr>
      </w:pPr>
      <w:hyperlink w:anchor="_Toc536448575" w:history="1">
        <w:r w:rsidRPr="008A09AB">
          <w:rPr>
            <w:rStyle w:val="Lienhypertexte"/>
            <w:noProof/>
          </w:rPr>
          <w:t>1.2.4</w:t>
        </w:r>
        <w:r>
          <w:rPr>
            <w:rFonts w:asciiTheme="minorHAnsi" w:eastAsiaTheme="minorEastAsia" w:hAnsiTheme="minorHAnsi" w:cstheme="minorBidi"/>
            <w:noProof/>
            <w:sz w:val="22"/>
            <w:lang w:eastAsia="fr-FR"/>
          </w:rPr>
          <w:tab/>
        </w:r>
        <w:r w:rsidRPr="008A09AB">
          <w:rPr>
            <w:rStyle w:val="Lienhypertexte"/>
            <w:noProof/>
          </w:rPr>
          <w:t>Gestion des déchets spéciaux</w:t>
        </w:r>
        <w:r>
          <w:rPr>
            <w:noProof/>
            <w:webHidden/>
          </w:rPr>
          <w:tab/>
        </w:r>
        <w:r>
          <w:rPr>
            <w:noProof/>
            <w:webHidden/>
          </w:rPr>
          <w:fldChar w:fldCharType="begin"/>
        </w:r>
        <w:r>
          <w:rPr>
            <w:noProof/>
            <w:webHidden/>
          </w:rPr>
          <w:instrText xml:space="preserve"> PAGEREF _Toc536448575 \h </w:instrText>
        </w:r>
        <w:r>
          <w:rPr>
            <w:noProof/>
            <w:webHidden/>
          </w:rPr>
        </w:r>
        <w:r>
          <w:rPr>
            <w:noProof/>
            <w:webHidden/>
          </w:rPr>
          <w:fldChar w:fldCharType="separate"/>
        </w:r>
        <w:r>
          <w:rPr>
            <w:noProof/>
            <w:webHidden/>
          </w:rPr>
          <w:t>14</w:t>
        </w:r>
        <w:r>
          <w:rPr>
            <w:noProof/>
            <w:webHidden/>
          </w:rPr>
          <w:fldChar w:fldCharType="end"/>
        </w:r>
      </w:hyperlink>
    </w:p>
    <w:p w:rsidR="00F14EAD" w:rsidRDefault="00F14EAD">
      <w:pPr>
        <w:pStyle w:val="TM3"/>
        <w:tabs>
          <w:tab w:val="left" w:pos="1320"/>
          <w:tab w:val="right" w:leader="dot" w:pos="9060"/>
        </w:tabs>
        <w:rPr>
          <w:rFonts w:asciiTheme="minorHAnsi" w:eastAsiaTheme="minorEastAsia" w:hAnsiTheme="minorHAnsi" w:cstheme="minorBidi"/>
          <w:noProof/>
          <w:sz w:val="22"/>
          <w:lang w:eastAsia="fr-FR"/>
        </w:rPr>
      </w:pPr>
      <w:hyperlink w:anchor="_Toc536448576" w:history="1">
        <w:r w:rsidRPr="008A09AB">
          <w:rPr>
            <w:rStyle w:val="Lienhypertexte"/>
            <w:noProof/>
          </w:rPr>
          <w:t>1.2.5</w:t>
        </w:r>
        <w:r>
          <w:rPr>
            <w:rFonts w:asciiTheme="minorHAnsi" w:eastAsiaTheme="minorEastAsia" w:hAnsiTheme="minorHAnsi" w:cstheme="minorBidi"/>
            <w:noProof/>
            <w:sz w:val="22"/>
            <w:lang w:eastAsia="fr-FR"/>
          </w:rPr>
          <w:tab/>
        </w:r>
        <w:r w:rsidRPr="008A09AB">
          <w:rPr>
            <w:rStyle w:val="Lienhypertexte"/>
            <w:noProof/>
          </w:rPr>
          <w:t>Appréciation de la mise en œuvre du cadre juridique et institutionnel</w:t>
        </w:r>
        <w:r>
          <w:rPr>
            <w:noProof/>
            <w:webHidden/>
          </w:rPr>
          <w:tab/>
        </w:r>
        <w:r>
          <w:rPr>
            <w:noProof/>
            <w:webHidden/>
          </w:rPr>
          <w:fldChar w:fldCharType="begin"/>
        </w:r>
        <w:r>
          <w:rPr>
            <w:noProof/>
            <w:webHidden/>
          </w:rPr>
          <w:instrText xml:space="preserve"> PAGEREF _Toc536448576 \h </w:instrText>
        </w:r>
        <w:r>
          <w:rPr>
            <w:noProof/>
            <w:webHidden/>
          </w:rPr>
        </w:r>
        <w:r>
          <w:rPr>
            <w:noProof/>
            <w:webHidden/>
          </w:rPr>
          <w:fldChar w:fldCharType="separate"/>
        </w:r>
        <w:r>
          <w:rPr>
            <w:noProof/>
            <w:webHidden/>
          </w:rPr>
          <w:t>15</w:t>
        </w:r>
        <w:r>
          <w:rPr>
            <w:noProof/>
            <w:webHidden/>
          </w:rPr>
          <w:fldChar w:fldCharType="end"/>
        </w:r>
      </w:hyperlink>
    </w:p>
    <w:p w:rsidR="00F14EAD" w:rsidRDefault="00F14EAD">
      <w:pPr>
        <w:pStyle w:val="TM3"/>
        <w:tabs>
          <w:tab w:val="left" w:pos="1320"/>
          <w:tab w:val="right" w:leader="dot" w:pos="9060"/>
        </w:tabs>
        <w:rPr>
          <w:rFonts w:asciiTheme="minorHAnsi" w:eastAsiaTheme="minorEastAsia" w:hAnsiTheme="minorHAnsi" w:cstheme="minorBidi"/>
          <w:noProof/>
          <w:sz w:val="22"/>
          <w:lang w:eastAsia="fr-FR"/>
        </w:rPr>
      </w:pPr>
      <w:hyperlink w:anchor="_Toc536448577" w:history="1">
        <w:r w:rsidRPr="008A09AB">
          <w:rPr>
            <w:rStyle w:val="Lienhypertexte"/>
            <w:noProof/>
          </w:rPr>
          <w:t>1.2.6</w:t>
        </w:r>
        <w:r>
          <w:rPr>
            <w:rFonts w:asciiTheme="minorHAnsi" w:eastAsiaTheme="minorEastAsia" w:hAnsiTheme="minorHAnsi" w:cstheme="minorBidi"/>
            <w:noProof/>
            <w:sz w:val="22"/>
            <w:lang w:eastAsia="fr-FR"/>
          </w:rPr>
          <w:tab/>
        </w:r>
        <w:r w:rsidRPr="008A09AB">
          <w:rPr>
            <w:rStyle w:val="Lienhypertexte"/>
            <w:noProof/>
          </w:rPr>
          <w:t>Concertation/coordination du sous-secteur Assainissement</w:t>
        </w:r>
        <w:r>
          <w:rPr>
            <w:noProof/>
            <w:webHidden/>
          </w:rPr>
          <w:tab/>
        </w:r>
        <w:r>
          <w:rPr>
            <w:noProof/>
            <w:webHidden/>
          </w:rPr>
          <w:fldChar w:fldCharType="begin"/>
        </w:r>
        <w:r>
          <w:rPr>
            <w:noProof/>
            <w:webHidden/>
          </w:rPr>
          <w:instrText xml:space="preserve"> PAGEREF _Toc536448577 \h </w:instrText>
        </w:r>
        <w:r>
          <w:rPr>
            <w:noProof/>
            <w:webHidden/>
          </w:rPr>
        </w:r>
        <w:r>
          <w:rPr>
            <w:noProof/>
            <w:webHidden/>
          </w:rPr>
          <w:fldChar w:fldCharType="separate"/>
        </w:r>
        <w:r>
          <w:rPr>
            <w:noProof/>
            <w:webHidden/>
          </w:rPr>
          <w:t>15</w:t>
        </w:r>
        <w:r>
          <w:rPr>
            <w:noProof/>
            <w:webHidden/>
          </w:rPr>
          <w:fldChar w:fldCharType="end"/>
        </w:r>
      </w:hyperlink>
    </w:p>
    <w:p w:rsidR="00F14EAD" w:rsidRDefault="00F14EAD">
      <w:pPr>
        <w:pStyle w:val="TM2"/>
        <w:tabs>
          <w:tab w:val="left" w:pos="880"/>
          <w:tab w:val="right" w:leader="dot" w:pos="9060"/>
        </w:tabs>
        <w:rPr>
          <w:rFonts w:asciiTheme="minorHAnsi" w:eastAsiaTheme="minorEastAsia" w:hAnsiTheme="minorHAnsi" w:cstheme="minorBidi"/>
          <w:noProof/>
          <w:sz w:val="22"/>
          <w:lang w:eastAsia="fr-FR"/>
        </w:rPr>
      </w:pPr>
      <w:hyperlink w:anchor="_Toc536448578" w:history="1">
        <w:r w:rsidRPr="008A09AB">
          <w:rPr>
            <w:rStyle w:val="Lienhypertexte"/>
            <w:noProof/>
          </w:rPr>
          <w:t>1.3</w:t>
        </w:r>
        <w:r>
          <w:rPr>
            <w:rFonts w:asciiTheme="minorHAnsi" w:eastAsiaTheme="minorEastAsia" w:hAnsiTheme="minorHAnsi" w:cstheme="minorBidi"/>
            <w:noProof/>
            <w:sz w:val="22"/>
            <w:lang w:eastAsia="fr-FR"/>
          </w:rPr>
          <w:tab/>
        </w:r>
        <w:r w:rsidRPr="008A09AB">
          <w:rPr>
            <w:rStyle w:val="Lienhypertexte"/>
            <w:noProof/>
          </w:rPr>
          <w:t>Conclusions</w:t>
        </w:r>
        <w:r>
          <w:rPr>
            <w:noProof/>
            <w:webHidden/>
          </w:rPr>
          <w:tab/>
        </w:r>
        <w:r>
          <w:rPr>
            <w:noProof/>
            <w:webHidden/>
          </w:rPr>
          <w:fldChar w:fldCharType="begin"/>
        </w:r>
        <w:r>
          <w:rPr>
            <w:noProof/>
            <w:webHidden/>
          </w:rPr>
          <w:instrText xml:space="preserve"> PAGEREF _Toc536448578 \h </w:instrText>
        </w:r>
        <w:r>
          <w:rPr>
            <w:noProof/>
            <w:webHidden/>
          </w:rPr>
        </w:r>
        <w:r>
          <w:rPr>
            <w:noProof/>
            <w:webHidden/>
          </w:rPr>
          <w:fldChar w:fldCharType="separate"/>
        </w:r>
        <w:r>
          <w:rPr>
            <w:noProof/>
            <w:webHidden/>
          </w:rPr>
          <w:t>16</w:t>
        </w:r>
        <w:r>
          <w:rPr>
            <w:noProof/>
            <w:webHidden/>
          </w:rPr>
          <w:fldChar w:fldCharType="end"/>
        </w:r>
      </w:hyperlink>
    </w:p>
    <w:p w:rsidR="00F14EAD" w:rsidRDefault="00F14EAD">
      <w:pPr>
        <w:pStyle w:val="TM2"/>
        <w:tabs>
          <w:tab w:val="left" w:pos="880"/>
          <w:tab w:val="right" w:leader="dot" w:pos="9060"/>
        </w:tabs>
        <w:rPr>
          <w:rFonts w:asciiTheme="minorHAnsi" w:eastAsiaTheme="minorEastAsia" w:hAnsiTheme="minorHAnsi" w:cstheme="minorBidi"/>
          <w:noProof/>
          <w:sz w:val="22"/>
          <w:lang w:eastAsia="fr-FR"/>
        </w:rPr>
      </w:pPr>
      <w:hyperlink w:anchor="_Toc536448579" w:history="1">
        <w:r w:rsidRPr="008A09AB">
          <w:rPr>
            <w:rStyle w:val="Lienhypertexte"/>
            <w:noProof/>
          </w:rPr>
          <w:t>1.4</w:t>
        </w:r>
        <w:r>
          <w:rPr>
            <w:rFonts w:asciiTheme="minorHAnsi" w:eastAsiaTheme="minorEastAsia" w:hAnsiTheme="minorHAnsi" w:cstheme="minorBidi"/>
            <w:noProof/>
            <w:sz w:val="22"/>
            <w:lang w:eastAsia="fr-FR"/>
          </w:rPr>
          <w:tab/>
        </w:r>
        <w:r w:rsidRPr="008A09AB">
          <w:rPr>
            <w:rStyle w:val="Lienhypertexte"/>
            <w:noProof/>
          </w:rPr>
          <w:t>Recommandations</w:t>
        </w:r>
        <w:r>
          <w:rPr>
            <w:noProof/>
            <w:webHidden/>
          </w:rPr>
          <w:tab/>
        </w:r>
        <w:r>
          <w:rPr>
            <w:noProof/>
            <w:webHidden/>
          </w:rPr>
          <w:fldChar w:fldCharType="begin"/>
        </w:r>
        <w:r>
          <w:rPr>
            <w:noProof/>
            <w:webHidden/>
          </w:rPr>
          <w:instrText xml:space="preserve"> PAGEREF _Toc536448579 \h </w:instrText>
        </w:r>
        <w:r>
          <w:rPr>
            <w:noProof/>
            <w:webHidden/>
          </w:rPr>
        </w:r>
        <w:r>
          <w:rPr>
            <w:noProof/>
            <w:webHidden/>
          </w:rPr>
          <w:fldChar w:fldCharType="separate"/>
        </w:r>
        <w:r>
          <w:rPr>
            <w:noProof/>
            <w:webHidden/>
          </w:rPr>
          <w:t>17</w:t>
        </w:r>
        <w:r>
          <w:rPr>
            <w:noProof/>
            <w:webHidden/>
          </w:rPr>
          <w:fldChar w:fldCharType="end"/>
        </w:r>
      </w:hyperlink>
    </w:p>
    <w:p w:rsidR="00F14EAD" w:rsidRDefault="00F14EAD">
      <w:pPr>
        <w:pStyle w:val="TM1"/>
        <w:tabs>
          <w:tab w:val="left" w:pos="440"/>
          <w:tab w:val="right" w:leader="dot" w:pos="9060"/>
        </w:tabs>
        <w:rPr>
          <w:rFonts w:asciiTheme="minorHAnsi" w:eastAsiaTheme="minorEastAsia" w:hAnsiTheme="minorHAnsi" w:cstheme="minorBidi"/>
          <w:noProof/>
          <w:sz w:val="22"/>
          <w:lang w:eastAsia="fr-FR"/>
        </w:rPr>
      </w:pPr>
      <w:hyperlink w:anchor="_Toc536448580" w:history="1">
        <w:r w:rsidRPr="008A09AB">
          <w:rPr>
            <w:rStyle w:val="Lienhypertexte"/>
            <w:rFonts w:cstheme="minorHAnsi"/>
            <w:noProof/>
          </w:rPr>
          <w:t>2</w:t>
        </w:r>
        <w:r>
          <w:rPr>
            <w:rFonts w:asciiTheme="minorHAnsi" w:eastAsiaTheme="minorEastAsia" w:hAnsiTheme="minorHAnsi" w:cstheme="minorBidi"/>
            <w:noProof/>
            <w:sz w:val="22"/>
            <w:lang w:eastAsia="fr-FR"/>
          </w:rPr>
          <w:tab/>
        </w:r>
        <w:r w:rsidRPr="008A09AB">
          <w:rPr>
            <w:rStyle w:val="Lienhypertexte"/>
            <w:rFonts w:cstheme="minorHAnsi"/>
            <w:noProof/>
          </w:rPr>
          <w:t>INTRODUCTION</w:t>
        </w:r>
        <w:r>
          <w:rPr>
            <w:noProof/>
            <w:webHidden/>
          </w:rPr>
          <w:tab/>
        </w:r>
        <w:r>
          <w:rPr>
            <w:noProof/>
            <w:webHidden/>
          </w:rPr>
          <w:fldChar w:fldCharType="begin"/>
        </w:r>
        <w:r>
          <w:rPr>
            <w:noProof/>
            <w:webHidden/>
          </w:rPr>
          <w:instrText xml:space="preserve"> PAGEREF _Toc536448580 \h </w:instrText>
        </w:r>
        <w:r>
          <w:rPr>
            <w:noProof/>
            <w:webHidden/>
          </w:rPr>
        </w:r>
        <w:r>
          <w:rPr>
            <w:noProof/>
            <w:webHidden/>
          </w:rPr>
          <w:fldChar w:fldCharType="separate"/>
        </w:r>
        <w:r>
          <w:rPr>
            <w:noProof/>
            <w:webHidden/>
          </w:rPr>
          <w:t>20</w:t>
        </w:r>
        <w:r>
          <w:rPr>
            <w:noProof/>
            <w:webHidden/>
          </w:rPr>
          <w:fldChar w:fldCharType="end"/>
        </w:r>
      </w:hyperlink>
    </w:p>
    <w:p w:rsidR="00F14EAD" w:rsidRDefault="00F14EAD">
      <w:pPr>
        <w:pStyle w:val="TM1"/>
        <w:tabs>
          <w:tab w:val="left" w:pos="440"/>
          <w:tab w:val="right" w:leader="dot" w:pos="9060"/>
        </w:tabs>
        <w:rPr>
          <w:rFonts w:asciiTheme="minorHAnsi" w:eastAsiaTheme="minorEastAsia" w:hAnsiTheme="minorHAnsi" w:cstheme="minorBidi"/>
          <w:noProof/>
          <w:sz w:val="22"/>
          <w:lang w:eastAsia="fr-FR"/>
        </w:rPr>
      </w:pPr>
      <w:hyperlink w:anchor="_Toc536448581" w:history="1">
        <w:r w:rsidRPr="008A09AB">
          <w:rPr>
            <w:rStyle w:val="Lienhypertexte"/>
            <w:rFonts w:cstheme="minorHAnsi"/>
            <w:noProof/>
          </w:rPr>
          <w:t>3</w:t>
        </w:r>
        <w:r>
          <w:rPr>
            <w:rFonts w:asciiTheme="minorHAnsi" w:eastAsiaTheme="minorEastAsia" w:hAnsiTheme="minorHAnsi" w:cstheme="minorBidi"/>
            <w:noProof/>
            <w:sz w:val="22"/>
            <w:lang w:eastAsia="fr-FR"/>
          </w:rPr>
          <w:tab/>
        </w:r>
        <w:r w:rsidRPr="008A09AB">
          <w:rPr>
            <w:rStyle w:val="Lienhypertexte"/>
            <w:rFonts w:cstheme="minorHAnsi"/>
            <w:noProof/>
          </w:rPr>
          <w:t>METHODOLOGIE ET DEROULEMENT DE LA MISSION DE DIAGNOSTIC DE LA POLITIQUE NATIONALE D’ASSAINISSEMENT (PNA)</w:t>
        </w:r>
        <w:r>
          <w:rPr>
            <w:noProof/>
            <w:webHidden/>
          </w:rPr>
          <w:tab/>
        </w:r>
        <w:r>
          <w:rPr>
            <w:noProof/>
            <w:webHidden/>
          </w:rPr>
          <w:fldChar w:fldCharType="begin"/>
        </w:r>
        <w:r>
          <w:rPr>
            <w:noProof/>
            <w:webHidden/>
          </w:rPr>
          <w:instrText xml:space="preserve"> PAGEREF _Toc536448581 \h </w:instrText>
        </w:r>
        <w:r>
          <w:rPr>
            <w:noProof/>
            <w:webHidden/>
          </w:rPr>
        </w:r>
        <w:r>
          <w:rPr>
            <w:noProof/>
            <w:webHidden/>
          </w:rPr>
          <w:fldChar w:fldCharType="separate"/>
        </w:r>
        <w:r>
          <w:rPr>
            <w:noProof/>
            <w:webHidden/>
          </w:rPr>
          <w:t>21</w:t>
        </w:r>
        <w:r>
          <w:rPr>
            <w:noProof/>
            <w:webHidden/>
          </w:rPr>
          <w:fldChar w:fldCharType="end"/>
        </w:r>
      </w:hyperlink>
    </w:p>
    <w:p w:rsidR="00F14EAD" w:rsidRDefault="00F14EAD">
      <w:pPr>
        <w:pStyle w:val="TM2"/>
        <w:tabs>
          <w:tab w:val="left" w:pos="880"/>
          <w:tab w:val="right" w:leader="dot" w:pos="9060"/>
        </w:tabs>
        <w:rPr>
          <w:rFonts w:asciiTheme="minorHAnsi" w:eastAsiaTheme="minorEastAsia" w:hAnsiTheme="minorHAnsi" w:cstheme="minorBidi"/>
          <w:noProof/>
          <w:sz w:val="22"/>
          <w:lang w:eastAsia="fr-FR"/>
        </w:rPr>
      </w:pPr>
      <w:hyperlink w:anchor="_Toc536448582" w:history="1">
        <w:r w:rsidRPr="008A09AB">
          <w:rPr>
            <w:rStyle w:val="Lienhypertexte"/>
            <w:noProof/>
            <w:lang w:eastAsia="en-GB"/>
          </w:rPr>
          <w:t>3.1</w:t>
        </w:r>
        <w:r>
          <w:rPr>
            <w:rFonts w:asciiTheme="minorHAnsi" w:eastAsiaTheme="minorEastAsia" w:hAnsiTheme="minorHAnsi" w:cstheme="minorBidi"/>
            <w:noProof/>
            <w:sz w:val="22"/>
            <w:lang w:eastAsia="fr-FR"/>
          </w:rPr>
          <w:tab/>
        </w:r>
        <w:r w:rsidRPr="008A09AB">
          <w:rPr>
            <w:rStyle w:val="Lienhypertexte"/>
            <w:noProof/>
            <w:lang w:eastAsia="en-GB"/>
          </w:rPr>
          <w:t>Objectif du diagnostic et de l’évaluation</w:t>
        </w:r>
        <w:r>
          <w:rPr>
            <w:noProof/>
            <w:webHidden/>
          </w:rPr>
          <w:tab/>
        </w:r>
        <w:r>
          <w:rPr>
            <w:noProof/>
            <w:webHidden/>
          </w:rPr>
          <w:fldChar w:fldCharType="begin"/>
        </w:r>
        <w:r>
          <w:rPr>
            <w:noProof/>
            <w:webHidden/>
          </w:rPr>
          <w:instrText xml:space="preserve"> PAGEREF _Toc536448582 \h </w:instrText>
        </w:r>
        <w:r>
          <w:rPr>
            <w:noProof/>
            <w:webHidden/>
          </w:rPr>
        </w:r>
        <w:r>
          <w:rPr>
            <w:noProof/>
            <w:webHidden/>
          </w:rPr>
          <w:fldChar w:fldCharType="separate"/>
        </w:r>
        <w:r>
          <w:rPr>
            <w:noProof/>
            <w:webHidden/>
          </w:rPr>
          <w:t>21</w:t>
        </w:r>
        <w:r>
          <w:rPr>
            <w:noProof/>
            <w:webHidden/>
          </w:rPr>
          <w:fldChar w:fldCharType="end"/>
        </w:r>
      </w:hyperlink>
    </w:p>
    <w:p w:rsidR="00F14EAD" w:rsidRDefault="00F14EAD">
      <w:pPr>
        <w:pStyle w:val="TM2"/>
        <w:tabs>
          <w:tab w:val="left" w:pos="880"/>
          <w:tab w:val="right" w:leader="dot" w:pos="9060"/>
        </w:tabs>
        <w:rPr>
          <w:rFonts w:asciiTheme="minorHAnsi" w:eastAsiaTheme="minorEastAsia" w:hAnsiTheme="minorHAnsi" w:cstheme="minorBidi"/>
          <w:noProof/>
          <w:sz w:val="22"/>
          <w:lang w:eastAsia="fr-FR"/>
        </w:rPr>
      </w:pPr>
      <w:hyperlink w:anchor="_Toc536448583" w:history="1">
        <w:r w:rsidRPr="008A09AB">
          <w:rPr>
            <w:rStyle w:val="Lienhypertexte"/>
            <w:noProof/>
          </w:rPr>
          <w:t>3.2</w:t>
        </w:r>
        <w:r>
          <w:rPr>
            <w:rFonts w:asciiTheme="minorHAnsi" w:eastAsiaTheme="minorEastAsia" w:hAnsiTheme="minorHAnsi" w:cstheme="minorBidi"/>
            <w:noProof/>
            <w:sz w:val="22"/>
            <w:lang w:eastAsia="fr-FR"/>
          </w:rPr>
          <w:tab/>
        </w:r>
        <w:r w:rsidRPr="008A09AB">
          <w:rPr>
            <w:rStyle w:val="Lienhypertexte"/>
            <w:noProof/>
          </w:rPr>
          <w:t>Approche méthodologique</w:t>
        </w:r>
        <w:r>
          <w:rPr>
            <w:noProof/>
            <w:webHidden/>
          </w:rPr>
          <w:tab/>
        </w:r>
        <w:r>
          <w:rPr>
            <w:noProof/>
            <w:webHidden/>
          </w:rPr>
          <w:fldChar w:fldCharType="begin"/>
        </w:r>
        <w:r>
          <w:rPr>
            <w:noProof/>
            <w:webHidden/>
          </w:rPr>
          <w:instrText xml:space="preserve"> PAGEREF _Toc536448583 \h </w:instrText>
        </w:r>
        <w:r>
          <w:rPr>
            <w:noProof/>
            <w:webHidden/>
          </w:rPr>
        </w:r>
        <w:r>
          <w:rPr>
            <w:noProof/>
            <w:webHidden/>
          </w:rPr>
          <w:fldChar w:fldCharType="separate"/>
        </w:r>
        <w:r>
          <w:rPr>
            <w:noProof/>
            <w:webHidden/>
          </w:rPr>
          <w:t>21</w:t>
        </w:r>
        <w:r>
          <w:rPr>
            <w:noProof/>
            <w:webHidden/>
          </w:rPr>
          <w:fldChar w:fldCharType="end"/>
        </w:r>
      </w:hyperlink>
    </w:p>
    <w:p w:rsidR="00F14EAD" w:rsidRDefault="00F14EAD">
      <w:pPr>
        <w:pStyle w:val="TM1"/>
        <w:tabs>
          <w:tab w:val="left" w:pos="440"/>
          <w:tab w:val="right" w:leader="dot" w:pos="9060"/>
        </w:tabs>
        <w:rPr>
          <w:rFonts w:asciiTheme="minorHAnsi" w:eastAsiaTheme="minorEastAsia" w:hAnsiTheme="minorHAnsi" w:cstheme="minorBidi"/>
          <w:noProof/>
          <w:sz w:val="22"/>
          <w:lang w:eastAsia="fr-FR"/>
        </w:rPr>
      </w:pPr>
      <w:hyperlink w:anchor="_Toc536448584" w:history="1">
        <w:r w:rsidRPr="008A09AB">
          <w:rPr>
            <w:rStyle w:val="Lienhypertexte"/>
            <w:noProof/>
          </w:rPr>
          <w:t>4</w:t>
        </w:r>
        <w:r>
          <w:rPr>
            <w:rFonts w:asciiTheme="minorHAnsi" w:eastAsiaTheme="minorEastAsia" w:hAnsiTheme="minorHAnsi" w:cstheme="minorBidi"/>
            <w:noProof/>
            <w:sz w:val="22"/>
            <w:lang w:eastAsia="fr-FR"/>
          </w:rPr>
          <w:tab/>
        </w:r>
        <w:r w:rsidRPr="008A09AB">
          <w:rPr>
            <w:rStyle w:val="Lienhypertexte"/>
            <w:noProof/>
          </w:rPr>
          <w:t>Diagnostic du sous-secteur de l’Assainissement au Mali</w:t>
        </w:r>
        <w:r>
          <w:rPr>
            <w:noProof/>
            <w:webHidden/>
          </w:rPr>
          <w:tab/>
        </w:r>
        <w:r>
          <w:rPr>
            <w:noProof/>
            <w:webHidden/>
          </w:rPr>
          <w:fldChar w:fldCharType="begin"/>
        </w:r>
        <w:r>
          <w:rPr>
            <w:noProof/>
            <w:webHidden/>
          </w:rPr>
          <w:instrText xml:space="preserve"> PAGEREF _Toc536448584 \h </w:instrText>
        </w:r>
        <w:r>
          <w:rPr>
            <w:noProof/>
            <w:webHidden/>
          </w:rPr>
        </w:r>
        <w:r>
          <w:rPr>
            <w:noProof/>
            <w:webHidden/>
          </w:rPr>
          <w:fldChar w:fldCharType="separate"/>
        </w:r>
        <w:r>
          <w:rPr>
            <w:noProof/>
            <w:webHidden/>
          </w:rPr>
          <w:t>22</w:t>
        </w:r>
        <w:r>
          <w:rPr>
            <w:noProof/>
            <w:webHidden/>
          </w:rPr>
          <w:fldChar w:fldCharType="end"/>
        </w:r>
      </w:hyperlink>
    </w:p>
    <w:p w:rsidR="00F14EAD" w:rsidRDefault="00F14EAD">
      <w:pPr>
        <w:pStyle w:val="TM2"/>
        <w:tabs>
          <w:tab w:val="left" w:pos="880"/>
          <w:tab w:val="right" w:leader="dot" w:pos="9060"/>
        </w:tabs>
        <w:rPr>
          <w:rFonts w:asciiTheme="minorHAnsi" w:eastAsiaTheme="minorEastAsia" w:hAnsiTheme="minorHAnsi" w:cstheme="minorBidi"/>
          <w:noProof/>
          <w:sz w:val="22"/>
          <w:lang w:eastAsia="fr-FR"/>
        </w:rPr>
      </w:pPr>
      <w:hyperlink w:anchor="_Toc536448585" w:history="1">
        <w:r w:rsidRPr="008A09AB">
          <w:rPr>
            <w:rStyle w:val="Lienhypertexte"/>
            <w:noProof/>
          </w:rPr>
          <w:t>4.1</w:t>
        </w:r>
        <w:r>
          <w:rPr>
            <w:rFonts w:asciiTheme="minorHAnsi" w:eastAsiaTheme="minorEastAsia" w:hAnsiTheme="minorHAnsi" w:cstheme="minorBidi"/>
            <w:noProof/>
            <w:sz w:val="22"/>
            <w:lang w:eastAsia="fr-FR"/>
          </w:rPr>
          <w:tab/>
        </w:r>
        <w:r w:rsidRPr="008A09AB">
          <w:rPr>
            <w:rStyle w:val="Lienhypertexte"/>
            <w:noProof/>
          </w:rPr>
          <w:t>BREF APERÇU SUR LE SOUS-SECTEUR DE L’ASSAINISSEMENT AU MALI</w:t>
        </w:r>
        <w:r>
          <w:rPr>
            <w:noProof/>
            <w:webHidden/>
          </w:rPr>
          <w:tab/>
        </w:r>
        <w:r>
          <w:rPr>
            <w:noProof/>
            <w:webHidden/>
          </w:rPr>
          <w:fldChar w:fldCharType="begin"/>
        </w:r>
        <w:r>
          <w:rPr>
            <w:noProof/>
            <w:webHidden/>
          </w:rPr>
          <w:instrText xml:space="preserve"> PAGEREF _Toc536448585 \h </w:instrText>
        </w:r>
        <w:r>
          <w:rPr>
            <w:noProof/>
            <w:webHidden/>
          </w:rPr>
        </w:r>
        <w:r>
          <w:rPr>
            <w:noProof/>
            <w:webHidden/>
          </w:rPr>
          <w:fldChar w:fldCharType="separate"/>
        </w:r>
        <w:r>
          <w:rPr>
            <w:noProof/>
            <w:webHidden/>
          </w:rPr>
          <w:t>22</w:t>
        </w:r>
        <w:r>
          <w:rPr>
            <w:noProof/>
            <w:webHidden/>
          </w:rPr>
          <w:fldChar w:fldCharType="end"/>
        </w:r>
      </w:hyperlink>
    </w:p>
    <w:p w:rsidR="00F14EAD" w:rsidRDefault="00F14EAD">
      <w:pPr>
        <w:pStyle w:val="TM2"/>
        <w:tabs>
          <w:tab w:val="left" w:pos="880"/>
          <w:tab w:val="right" w:leader="dot" w:pos="9060"/>
        </w:tabs>
        <w:rPr>
          <w:rFonts w:asciiTheme="minorHAnsi" w:eastAsiaTheme="minorEastAsia" w:hAnsiTheme="minorHAnsi" w:cstheme="minorBidi"/>
          <w:noProof/>
          <w:sz w:val="22"/>
          <w:lang w:eastAsia="fr-FR"/>
        </w:rPr>
      </w:pPr>
      <w:hyperlink w:anchor="_Toc536448586" w:history="1">
        <w:r w:rsidRPr="008A09AB">
          <w:rPr>
            <w:rStyle w:val="Lienhypertexte"/>
            <w:noProof/>
          </w:rPr>
          <w:t>4.2</w:t>
        </w:r>
        <w:r>
          <w:rPr>
            <w:rFonts w:asciiTheme="minorHAnsi" w:eastAsiaTheme="minorEastAsia" w:hAnsiTheme="minorHAnsi" w:cstheme="minorBidi"/>
            <w:noProof/>
            <w:sz w:val="22"/>
            <w:lang w:eastAsia="fr-FR"/>
          </w:rPr>
          <w:tab/>
        </w:r>
        <w:r w:rsidRPr="008A09AB">
          <w:rPr>
            <w:rStyle w:val="Lienhypertexte"/>
            <w:noProof/>
          </w:rPr>
          <w:t>La gestion des déchets solides</w:t>
        </w:r>
        <w:r>
          <w:rPr>
            <w:noProof/>
            <w:webHidden/>
          </w:rPr>
          <w:tab/>
        </w:r>
        <w:r>
          <w:rPr>
            <w:noProof/>
            <w:webHidden/>
          </w:rPr>
          <w:fldChar w:fldCharType="begin"/>
        </w:r>
        <w:r>
          <w:rPr>
            <w:noProof/>
            <w:webHidden/>
          </w:rPr>
          <w:instrText xml:space="preserve"> PAGEREF _Toc536448586 \h </w:instrText>
        </w:r>
        <w:r>
          <w:rPr>
            <w:noProof/>
            <w:webHidden/>
          </w:rPr>
        </w:r>
        <w:r>
          <w:rPr>
            <w:noProof/>
            <w:webHidden/>
          </w:rPr>
          <w:fldChar w:fldCharType="separate"/>
        </w:r>
        <w:r>
          <w:rPr>
            <w:noProof/>
            <w:webHidden/>
          </w:rPr>
          <w:t>23</w:t>
        </w:r>
        <w:r>
          <w:rPr>
            <w:noProof/>
            <w:webHidden/>
          </w:rPr>
          <w:fldChar w:fldCharType="end"/>
        </w:r>
      </w:hyperlink>
    </w:p>
    <w:p w:rsidR="00F14EAD" w:rsidRDefault="00F14EAD">
      <w:pPr>
        <w:pStyle w:val="TM2"/>
        <w:tabs>
          <w:tab w:val="left" w:pos="880"/>
          <w:tab w:val="right" w:leader="dot" w:pos="9060"/>
        </w:tabs>
        <w:rPr>
          <w:rFonts w:asciiTheme="minorHAnsi" w:eastAsiaTheme="minorEastAsia" w:hAnsiTheme="minorHAnsi" w:cstheme="minorBidi"/>
          <w:noProof/>
          <w:sz w:val="22"/>
          <w:lang w:eastAsia="fr-FR"/>
        </w:rPr>
      </w:pPr>
      <w:hyperlink w:anchor="_Toc536448587" w:history="1">
        <w:r w:rsidRPr="008A09AB">
          <w:rPr>
            <w:rStyle w:val="Lienhypertexte"/>
            <w:noProof/>
          </w:rPr>
          <w:t>4.3</w:t>
        </w:r>
        <w:r>
          <w:rPr>
            <w:rFonts w:asciiTheme="minorHAnsi" w:eastAsiaTheme="minorEastAsia" w:hAnsiTheme="minorHAnsi" w:cstheme="minorBidi"/>
            <w:noProof/>
            <w:sz w:val="22"/>
            <w:lang w:eastAsia="fr-FR"/>
          </w:rPr>
          <w:tab/>
        </w:r>
        <w:r w:rsidRPr="008A09AB">
          <w:rPr>
            <w:rStyle w:val="Lienhypertexte"/>
            <w:noProof/>
          </w:rPr>
          <w:t>Gestion des déchets liquides</w:t>
        </w:r>
        <w:r>
          <w:rPr>
            <w:noProof/>
            <w:webHidden/>
          </w:rPr>
          <w:tab/>
        </w:r>
        <w:r>
          <w:rPr>
            <w:noProof/>
            <w:webHidden/>
          </w:rPr>
          <w:fldChar w:fldCharType="begin"/>
        </w:r>
        <w:r>
          <w:rPr>
            <w:noProof/>
            <w:webHidden/>
          </w:rPr>
          <w:instrText xml:space="preserve"> PAGEREF _Toc536448587 \h </w:instrText>
        </w:r>
        <w:r>
          <w:rPr>
            <w:noProof/>
            <w:webHidden/>
          </w:rPr>
        </w:r>
        <w:r>
          <w:rPr>
            <w:noProof/>
            <w:webHidden/>
          </w:rPr>
          <w:fldChar w:fldCharType="separate"/>
        </w:r>
        <w:r>
          <w:rPr>
            <w:noProof/>
            <w:webHidden/>
          </w:rPr>
          <w:t>23</w:t>
        </w:r>
        <w:r>
          <w:rPr>
            <w:noProof/>
            <w:webHidden/>
          </w:rPr>
          <w:fldChar w:fldCharType="end"/>
        </w:r>
      </w:hyperlink>
    </w:p>
    <w:p w:rsidR="00F14EAD" w:rsidRDefault="00F14EAD">
      <w:pPr>
        <w:pStyle w:val="TM2"/>
        <w:tabs>
          <w:tab w:val="left" w:pos="880"/>
          <w:tab w:val="right" w:leader="dot" w:pos="9060"/>
        </w:tabs>
        <w:rPr>
          <w:rFonts w:asciiTheme="minorHAnsi" w:eastAsiaTheme="minorEastAsia" w:hAnsiTheme="minorHAnsi" w:cstheme="minorBidi"/>
          <w:noProof/>
          <w:sz w:val="22"/>
          <w:lang w:eastAsia="fr-FR"/>
        </w:rPr>
      </w:pPr>
      <w:hyperlink w:anchor="_Toc536448588" w:history="1">
        <w:r w:rsidRPr="008A09AB">
          <w:rPr>
            <w:rStyle w:val="Lienhypertexte"/>
            <w:noProof/>
          </w:rPr>
          <w:t>4.4</w:t>
        </w:r>
        <w:r>
          <w:rPr>
            <w:rFonts w:asciiTheme="minorHAnsi" w:eastAsiaTheme="minorEastAsia" w:hAnsiTheme="minorHAnsi" w:cstheme="minorBidi"/>
            <w:noProof/>
            <w:sz w:val="22"/>
            <w:lang w:eastAsia="fr-FR"/>
          </w:rPr>
          <w:tab/>
        </w:r>
        <w:r w:rsidRPr="008A09AB">
          <w:rPr>
            <w:rStyle w:val="Lienhypertexte"/>
            <w:noProof/>
          </w:rPr>
          <w:t>Gestion des eaux pluviales</w:t>
        </w:r>
        <w:r>
          <w:rPr>
            <w:noProof/>
            <w:webHidden/>
          </w:rPr>
          <w:tab/>
        </w:r>
        <w:r>
          <w:rPr>
            <w:noProof/>
            <w:webHidden/>
          </w:rPr>
          <w:fldChar w:fldCharType="begin"/>
        </w:r>
        <w:r>
          <w:rPr>
            <w:noProof/>
            <w:webHidden/>
          </w:rPr>
          <w:instrText xml:space="preserve"> PAGEREF _Toc536448588 \h </w:instrText>
        </w:r>
        <w:r>
          <w:rPr>
            <w:noProof/>
            <w:webHidden/>
          </w:rPr>
        </w:r>
        <w:r>
          <w:rPr>
            <w:noProof/>
            <w:webHidden/>
          </w:rPr>
          <w:fldChar w:fldCharType="separate"/>
        </w:r>
        <w:r>
          <w:rPr>
            <w:noProof/>
            <w:webHidden/>
          </w:rPr>
          <w:t>25</w:t>
        </w:r>
        <w:r>
          <w:rPr>
            <w:noProof/>
            <w:webHidden/>
          </w:rPr>
          <w:fldChar w:fldCharType="end"/>
        </w:r>
      </w:hyperlink>
    </w:p>
    <w:p w:rsidR="00F14EAD" w:rsidRDefault="00F14EAD">
      <w:pPr>
        <w:pStyle w:val="TM2"/>
        <w:tabs>
          <w:tab w:val="left" w:pos="880"/>
          <w:tab w:val="right" w:leader="dot" w:pos="9060"/>
        </w:tabs>
        <w:rPr>
          <w:rFonts w:asciiTheme="minorHAnsi" w:eastAsiaTheme="minorEastAsia" w:hAnsiTheme="minorHAnsi" w:cstheme="minorBidi"/>
          <w:noProof/>
          <w:sz w:val="22"/>
          <w:lang w:eastAsia="fr-FR"/>
        </w:rPr>
      </w:pPr>
      <w:hyperlink w:anchor="_Toc536448589" w:history="1">
        <w:r w:rsidRPr="008A09AB">
          <w:rPr>
            <w:rStyle w:val="Lienhypertexte"/>
            <w:noProof/>
          </w:rPr>
          <w:t>4.5</w:t>
        </w:r>
        <w:r>
          <w:rPr>
            <w:rFonts w:asciiTheme="minorHAnsi" w:eastAsiaTheme="minorEastAsia" w:hAnsiTheme="minorHAnsi" w:cstheme="minorBidi"/>
            <w:noProof/>
            <w:sz w:val="22"/>
            <w:lang w:eastAsia="fr-FR"/>
          </w:rPr>
          <w:tab/>
        </w:r>
        <w:r w:rsidRPr="008A09AB">
          <w:rPr>
            <w:rStyle w:val="Lienhypertexte"/>
            <w:noProof/>
          </w:rPr>
          <w:t>Gestion des déchets spéciaux</w:t>
        </w:r>
        <w:r>
          <w:rPr>
            <w:noProof/>
            <w:webHidden/>
          </w:rPr>
          <w:tab/>
        </w:r>
        <w:r>
          <w:rPr>
            <w:noProof/>
            <w:webHidden/>
          </w:rPr>
          <w:fldChar w:fldCharType="begin"/>
        </w:r>
        <w:r>
          <w:rPr>
            <w:noProof/>
            <w:webHidden/>
          </w:rPr>
          <w:instrText xml:space="preserve"> PAGEREF _Toc536448589 \h </w:instrText>
        </w:r>
        <w:r>
          <w:rPr>
            <w:noProof/>
            <w:webHidden/>
          </w:rPr>
        </w:r>
        <w:r>
          <w:rPr>
            <w:noProof/>
            <w:webHidden/>
          </w:rPr>
          <w:fldChar w:fldCharType="separate"/>
        </w:r>
        <w:r>
          <w:rPr>
            <w:noProof/>
            <w:webHidden/>
          </w:rPr>
          <w:t>26</w:t>
        </w:r>
        <w:r>
          <w:rPr>
            <w:noProof/>
            <w:webHidden/>
          </w:rPr>
          <w:fldChar w:fldCharType="end"/>
        </w:r>
      </w:hyperlink>
    </w:p>
    <w:p w:rsidR="00F14EAD" w:rsidRDefault="00F14EAD">
      <w:pPr>
        <w:pStyle w:val="TM2"/>
        <w:tabs>
          <w:tab w:val="left" w:pos="880"/>
          <w:tab w:val="right" w:leader="dot" w:pos="9060"/>
        </w:tabs>
        <w:rPr>
          <w:rFonts w:asciiTheme="minorHAnsi" w:eastAsiaTheme="minorEastAsia" w:hAnsiTheme="minorHAnsi" w:cstheme="minorBidi"/>
          <w:noProof/>
          <w:sz w:val="22"/>
          <w:lang w:eastAsia="fr-FR"/>
        </w:rPr>
      </w:pPr>
      <w:hyperlink w:anchor="_Toc536448590" w:history="1">
        <w:r w:rsidRPr="008A09AB">
          <w:rPr>
            <w:rStyle w:val="Lienhypertexte"/>
            <w:noProof/>
          </w:rPr>
          <w:t>4.6</w:t>
        </w:r>
        <w:r>
          <w:rPr>
            <w:rFonts w:asciiTheme="minorHAnsi" w:eastAsiaTheme="minorEastAsia" w:hAnsiTheme="minorHAnsi" w:cstheme="minorBidi"/>
            <w:noProof/>
            <w:sz w:val="22"/>
            <w:lang w:eastAsia="fr-FR"/>
          </w:rPr>
          <w:tab/>
        </w:r>
        <w:r w:rsidRPr="008A09AB">
          <w:rPr>
            <w:rStyle w:val="Lienhypertexte"/>
            <w:noProof/>
          </w:rPr>
          <w:t>Mise en œuvre du cadre juridique et institutionnel</w:t>
        </w:r>
        <w:r>
          <w:rPr>
            <w:noProof/>
            <w:webHidden/>
          </w:rPr>
          <w:tab/>
        </w:r>
        <w:r>
          <w:rPr>
            <w:noProof/>
            <w:webHidden/>
          </w:rPr>
          <w:fldChar w:fldCharType="begin"/>
        </w:r>
        <w:r>
          <w:rPr>
            <w:noProof/>
            <w:webHidden/>
          </w:rPr>
          <w:instrText xml:space="preserve"> PAGEREF _Toc536448590 \h </w:instrText>
        </w:r>
        <w:r>
          <w:rPr>
            <w:noProof/>
            <w:webHidden/>
          </w:rPr>
        </w:r>
        <w:r>
          <w:rPr>
            <w:noProof/>
            <w:webHidden/>
          </w:rPr>
          <w:fldChar w:fldCharType="separate"/>
        </w:r>
        <w:r>
          <w:rPr>
            <w:noProof/>
            <w:webHidden/>
          </w:rPr>
          <w:t>27</w:t>
        </w:r>
        <w:r>
          <w:rPr>
            <w:noProof/>
            <w:webHidden/>
          </w:rPr>
          <w:fldChar w:fldCharType="end"/>
        </w:r>
      </w:hyperlink>
    </w:p>
    <w:p w:rsidR="00F14EAD" w:rsidRDefault="00F14EAD">
      <w:pPr>
        <w:pStyle w:val="TM2"/>
        <w:tabs>
          <w:tab w:val="left" w:pos="880"/>
          <w:tab w:val="right" w:leader="dot" w:pos="9060"/>
        </w:tabs>
        <w:rPr>
          <w:rFonts w:asciiTheme="minorHAnsi" w:eastAsiaTheme="minorEastAsia" w:hAnsiTheme="minorHAnsi" w:cstheme="minorBidi"/>
          <w:noProof/>
          <w:sz w:val="22"/>
          <w:lang w:eastAsia="fr-FR"/>
        </w:rPr>
      </w:pPr>
      <w:hyperlink w:anchor="_Toc536448591" w:history="1">
        <w:r w:rsidRPr="008A09AB">
          <w:rPr>
            <w:rStyle w:val="Lienhypertexte"/>
            <w:noProof/>
          </w:rPr>
          <w:t>4.7</w:t>
        </w:r>
        <w:r>
          <w:rPr>
            <w:rFonts w:asciiTheme="minorHAnsi" w:eastAsiaTheme="minorEastAsia" w:hAnsiTheme="minorHAnsi" w:cstheme="minorBidi"/>
            <w:noProof/>
            <w:sz w:val="22"/>
            <w:lang w:eastAsia="fr-FR"/>
          </w:rPr>
          <w:tab/>
        </w:r>
        <w:r w:rsidRPr="008A09AB">
          <w:rPr>
            <w:rStyle w:val="Lienhypertexte"/>
            <w:noProof/>
          </w:rPr>
          <w:t>Concertation/coordination du sous-secteur Assainissement</w:t>
        </w:r>
        <w:r>
          <w:rPr>
            <w:noProof/>
            <w:webHidden/>
          </w:rPr>
          <w:tab/>
        </w:r>
        <w:r>
          <w:rPr>
            <w:noProof/>
            <w:webHidden/>
          </w:rPr>
          <w:fldChar w:fldCharType="begin"/>
        </w:r>
        <w:r>
          <w:rPr>
            <w:noProof/>
            <w:webHidden/>
          </w:rPr>
          <w:instrText xml:space="preserve"> PAGEREF _Toc536448591 \h </w:instrText>
        </w:r>
        <w:r>
          <w:rPr>
            <w:noProof/>
            <w:webHidden/>
          </w:rPr>
        </w:r>
        <w:r>
          <w:rPr>
            <w:noProof/>
            <w:webHidden/>
          </w:rPr>
          <w:fldChar w:fldCharType="separate"/>
        </w:r>
        <w:r>
          <w:rPr>
            <w:noProof/>
            <w:webHidden/>
          </w:rPr>
          <w:t>27</w:t>
        </w:r>
        <w:r>
          <w:rPr>
            <w:noProof/>
            <w:webHidden/>
          </w:rPr>
          <w:fldChar w:fldCharType="end"/>
        </w:r>
      </w:hyperlink>
    </w:p>
    <w:p w:rsidR="00F14EAD" w:rsidRDefault="00F14EAD">
      <w:pPr>
        <w:pStyle w:val="TM1"/>
        <w:tabs>
          <w:tab w:val="left" w:pos="440"/>
          <w:tab w:val="right" w:leader="dot" w:pos="9060"/>
        </w:tabs>
        <w:rPr>
          <w:rFonts w:asciiTheme="minorHAnsi" w:eastAsiaTheme="minorEastAsia" w:hAnsiTheme="minorHAnsi" w:cstheme="minorBidi"/>
          <w:noProof/>
          <w:sz w:val="22"/>
          <w:lang w:eastAsia="fr-FR"/>
        </w:rPr>
      </w:pPr>
      <w:hyperlink w:anchor="_Toc536448592" w:history="1">
        <w:r w:rsidRPr="008A09AB">
          <w:rPr>
            <w:rStyle w:val="Lienhypertexte"/>
            <w:noProof/>
          </w:rPr>
          <w:t>5</w:t>
        </w:r>
        <w:r>
          <w:rPr>
            <w:rFonts w:asciiTheme="minorHAnsi" w:eastAsiaTheme="minorEastAsia" w:hAnsiTheme="minorHAnsi" w:cstheme="minorBidi"/>
            <w:noProof/>
            <w:sz w:val="22"/>
            <w:lang w:eastAsia="fr-FR"/>
          </w:rPr>
          <w:tab/>
        </w:r>
        <w:r w:rsidRPr="008A09AB">
          <w:rPr>
            <w:rStyle w:val="Lienhypertexte"/>
            <w:noProof/>
          </w:rPr>
          <w:t>Evaluation de la mise en œuvre de la PNA et des stratégies sous-sectorielles</w:t>
        </w:r>
        <w:r>
          <w:rPr>
            <w:noProof/>
            <w:webHidden/>
          </w:rPr>
          <w:tab/>
        </w:r>
        <w:r>
          <w:rPr>
            <w:noProof/>
            <w:webHidden/>
          </w:rPr>
          <w:fldChar w:fldCharType="begin"/>
        </w:r>
        <w:r>
          <w:rPr>
            <w:noProof/>
            <w:webHidden/>
          </w:rPr>
          <w:instrText xml:space="preserve"> PAGEREF _Toc536448592 \h </w:instrText>
        </w:r>
        <w:r>
          <w:rPr>
            <w:noProof/>
            <w:webHidden/>
          </w:rPr>
        </w:r>
        <w:r>
          <w:rPr>
            <w:noProof/>
            <w:webHidden/>
          </w:rPr>
          <w:fldChar w:fldCharType="separate"/>
        </w:r>
        <w:r>
          <w:rPr>
            <w:noProof/>
            <w:webHidden/>
          </w:rPr>
          <w:t>29</w:t>
        </w:r>
        <w:r>
          <w:rPr>
            <w:noProof/>
            <w:webHidden/>
          </w:rPr>
          <w:fldChar w:fldCharType="end"/>
        </w:r>
      </w:hyperlink>
    </w:p>
    <w:p w:rsidR="00F14EAD" w:rsidRDefault="00F14EAD">
      <w:pPr>
        <w:pStyle w:val="TM2"/>
        <w:tabs>
          <w:tab w:val="left" w:pos="880"/>
          <w:tab w:val="right" w:leader="dot" w:pos="9060"/>
        </w:tabs>
        <w:rPr>
          <w:rFonts w:asciiTheme="minorHAnsi" w:eastAsiaTheme="minorEastAsia" w:hAnsiTheme="minorHAnsi" w:cstheme="minorBidi"/>
          <w:noProof/>
          <w:sz w:val="22"/>
          <w:lang w:eastAsia="fr-FR"/>
        </w:rPr>
      </w:pPr>
      <w:hyperlink w:anchor="_Toc536448593" w:history="1">
        <w:r w:rsidRPr="008A09AB">
          <w:rPr>
            <w:rStyle w:val="Lienhypertexte"/>
            <w:noProof/>
          </w:rPr>
          <w:t>5.1</w:t>
        </w:r>
        <w:r>
          <w:rPr>
            <w:rFonts w:asciiTheme="minorHAnsi" w:eastAsiaTheme="minorEastAsia" w:hAnsiTheme="minorHAnsi" w:cstheme="minorBidi"/>
            <w:noProof/>
            <w:sz w:val="22"/>
            <w:lang w:eastAsia="fr-FR"/>
          </w:rPr>
          <w:tab/>
        </w:r>
        <w:r w:rsidRPr="008A09AB">
          <w:rPr>
            <w:rStyle w:val="Lienhypertexte"/>
            <w:noProof/>
          </w:rPr>
          <w:t>Brève présentation de la PNA et des stratégies sous sectorielles</w:t>
        </w:r>
        <w:r>
          <w:rPr>
            <w:noProof/>
            <w:webHidden/>
          </w:rPr>
          <w:tab/>
        </w:r>
        <w:r>
          <w:rPr>
            <w:noProof/>
            <w:webHidden/>
          </w:rPr>
          <w:fldChar w:fldCharType="begin"/>
        </w:r>
        <w:r>
          <w:rPr>
            <w:noProof/>
            <w:webHidden/>
          </w:rPr>
          <w:instrText xml:space="preserve"> PAGEREF _Toc536448593 \h </w:instrText>
        </w:r>
        <w:r>
          <w:rPr>
            <w:noProof/>
            <w:webHidden/>
          </w:rPr>
        </w:r>
        <w:r>
          <w:rPr>
            <w:noProof/>
            <w:webHidden/>
          </w:rPr>
          <w:fldChar w:fldCharType="separate"/>
        </w:r>
        <w:r>
          <w:rPr>
            <w:noProof/>
            <w:webHidden/>
          </w:rPr>
          <w:t>29</w:t>
        </w:r>
        <w:r>
          <w:rPr>
            <w:noProof/>
            <w:webHidden/>
          </w:rPr>
          <w:fldChar w:fldCharType="end"/>
        </w:r>
      </w:hyperlink>
    </w:p>
    <w:p w:rsidR="00F14EAD" w:rsidRDefault="00F14EAD">
      <w:pPr>
        <w:pStyle w:val="TM3"/>
        <w:tabs>
          <w:tab w:val="left" w:pos="1320"/>
          <w:tab w:val="right" w:leader="dot" w:pos="9060"/>
        </w:tabs>
        <w:rPr>
          <w:rFonts w:asciiTheme="minorHAnsi" w:eastAsiaTheme="minorEastAsia" w:hAnsiTheme="minorHAnsi" w:cstheme="minorBidi"/>
          <w:noProof/>
          <w:sz w:val="22"/>
          <w:lang w:eastAsia="fr-FR"/>
        </w:rPr>
      </w:pPr>
      <w:hyperlink w:anchor="_Toc536448594" w:history="1">
        <w:r w:rsidRPr="008A09AB">
          <w:rPr>
            <w:rStyle w:val="Lienhypertexte"/>
            <w:noProof/>
          </w:rPr>
          <w:t>5.1.1</w:t>
        </w:r>
        <w:r>
          <w:rPr>
            <w:rFonts w:asciiTheme="minorHAnsi" w:eastAsiaTheme="minorEastAsia" w:hAnsiTheme="minorHAnsi" w:cstheme="minorBidi"/>
            <w:noProof/>
            <w:sz w:val="22"/>
            <w:lang w:eastAsia="fr-FR"/>
          </w:rPr>
          <w:tab/>
        </w:r>
        <w:r w:rsidRPr="008A09AB">
          <w:rPr>
            <w:rStyle w:val="Lienhypertexte"/>
            <w:noProof/>
          </w:rPr>
          <w:t>Objectifs de la PNA</w:t>
        </w:r>
        <w:r>
          <w:rPr>
            <w:noProof/>
            <w:webHidden/>
          </w:rPr>
          <w:tab/>
        </w:r>
        <w:r>
          <w:rPr>
            <w:noProof/>
            <w:webHidden/>
          </w:rPr>
          <w:fldChar w:fldCharType="begin"/>
        </w:r>
        <w:r>
          <w:rPr>
            <w:noProof/>
            <w:webHidden/>
          </w:rPr>
          <w:instrText xml:space="preserve"> PAGEREF _Toc536448594 \h </w:instrText>
        </w:r>
        <w:r>
          <w:rPr>
            <w:noProof/>
            <w:webHidden/>
          </w:rPr>
        </w:r>
        <w:r>
          <w:rPr>
            <w:noProof/>
            <w:webHidden/>
          </w:rPr>
          <w:fldChar w:fldCharType="separate"/>
        </w:r>
        <w:r>
          <w:rPr>
            <w:noProof/>
            <w:webHidden/>
          </w:rPr>
          <w:t>29</w:t>
        </w:r>
        <w:r>
          <w:rPr>
            <w:noProof/>
            <w:webHidden/>
          </w:rPr>
          <w:fldChar w:fldCharType="end"/>
        </w:r>
      </w:hyperlink>
    </w:p>
    <w:p w:rsidR="00F14EAD" w:rsidRDefault="00F14EAD">
      <w:pPr>
        <w:pStyle w:val="TM3"/>
        <w:tabs>
          <w:tab w:val="left" w:pos="1320"/>
          <w:tab w:val="right" w:leader="dot" w:pos="9060"/>
        </w:tabs>
        <w:rPr>
          <w:rFonts w:asciiTheme="minorHAnsi" w:eastAsiaTheme="minorEastAsia" w:hAnsiTheme="minorHAnsi" w:cstheme="minorBidi"/>
          <w:noProof/>
          <w:sz w:val="22"/>
          <w:lang w:eastAsia="fr-FR"/>
        </w:rPr>
      </w:pPr>
      <w:hyperlink w:anchor="_Toc536448595" w:history="1">
        <w:r w:rsidRPr="008A09AB">
          <w:rPr>
            <w:rStyle w:val="Lienhypertexte"/>
            <w:noProof/>
          </w:rPr>
          <w:t>5.1.2</w:t>
        </w:r>
        <w:r>
          <w:rPr>
            <w:rFonts w:asciiTheme="minorHAnsi" w:eastAsiaTheme="minorEastAsia" w:hAnsiTheme="minorHAnsi" w:cstheme="minorBidi"/>
            <w:noProof/>
            <w:sz w:val="22"/>
            <w:lang w:eastAsia="fr-FR"/>
          </w:rPr>
          <w:tab/>
        </w:r>
        <w:r w:rsidRPr="008A09AB">
          <w:rPr>
            <w:rStyle w:val="Lienhypertexte"/>
            <w:noProof/>
          </w:rPr>
          <w:t>Objectif global</w:t>
        </w:r>
        <w:r>
          <w:rPr>
            <w:noProof/>
            <w:webHidden/>
          </w:rPr>
          <w:tab/>
        </w:r>
        <w:r>
          <w:rPr>
            <w:noProof/>
            <w:webHidden/>
          </w:rPr>
          <w:fldChar w:fldCharType="begin"/>
        </w:r>
        <w:r>
          <w:rPr>
            <w:noProof/>
            <w:webHidden/>
          </w:rPr>
          <w:instrText xml:space="preserve"> PAGEREF _Toc536448595 \h </w:instrText>
        </w:r>
        <w:r>
          <w:rPr>
            <w:noProof/>
            <w:webHidden/>
          </w:rPr>
        </w:r>
        <w:r>
          <w:rPr>
            <w:noProof/>
            <w:webHidden/>
          </w:rPr>
          <w:fldChar w:fldCharType="separate"/>
        </w:r>
        <w:r>
          <w:rPr>
            <w:noProof/>
            <w:webHidden/>
          </w:rPr>
          <w:t>29</w:t>
        </w:r>
        <w:r>
          <w:rPr>
            <w:noProof/>
            <w:webHidden/>
          </w:rPr>
          <w:fldChar w:fldCharType="end"/>
        </w:r>
      </w:hyperlink>
    </w:p>
    <w:p w:rsidR="00F14EAD" w:rsidRDefault="00F14EAD">
      <w:pPr>
        <w:pStyle w:val="TM3"/>
        <w:tabs>
          <w:tab w:val="left" w:pos="1320"/>
          <w:tab w:val="right" w:leader="dot" w:pos="9060"/>
        </w:tabs>
        <w:rPr>
          <w:rFonts w:asciiTheme="minorHAnsi" w:eastAsiaTheme="minorEastAsia" w:hAnsiTheme="minorHAnsi" w:cstheme="minorBidi"/>
          <w:noProof/>
          <w:sz w:val="22"/>
          <w:lang w:eastAsia="fr-FR"/>
        </w:rPr>
      </w:pPr>
      <w:hyperlink w:anchor="_Toc536448596" w:history="1">
        <w:r w:rsidRPr="008A09AB">
          <w:rPr>
            <w:rStyle w:val="Lienhypertexte"/>
            <w:noProof/>
          </w:rPr>
          <w:t>5.1.3</w:t>
        </w:r>
        <w:r>
          <w:rPr>
            <w:rFonts w:asciiTheme="minorHAnsi" w:eastAsiaTheme="minorEastAsia" w:hAnsiTheme="minorHAnsi" w:cstheme="minorBidi"/>
            <w:noProof/>
            <w:sz w:val="22"/>
            <w:lang w:eastAsia="fr-FR"/>
          </w:rPr>
          <w:tab/>
        </w:r>
        <w:r w:rsidRPr="008A09AB">
          <w:rPr>
            <w:rStyle w:val="Lienhypertexte"/>
            <w:noProof/>
          </w:rPr>
          <w:t>Objectifs spécifiques</w:t>
        </w:r>
        <w:r>
          <w:rPr>
            <w:noProof/>
            <w:webHidden/>
          </w:rPr>
          <w:tab/>
        </w:r>
        <w:r>
          <w:rPr>
            <w:noProof/>
            <w:webHidden/>
          </w:rPr>
          <w:fldChar w:fldCharType="begin"/>
        </w:r>
        <w:r>
          <w:rPr>
            <w:noProof/>
            <w:webHidden/>
          </w:rPr>
          <w:instrText xml:space="preserve"> PAGEREF _Toc536448596 \h </w:instrText>
        </w:r>
        <w:r>
          <w:rPr>
            <w:noProof/>
            <w:webHidden/>
          </w:rPr>
        </w:r>
        <w:r>
          <w:rPr>
            <w:noProof/>
            <w:webHidden/>
          </w:rPr>
          <w:fldChar w:fldCharType="separate"/>
        </w:r>
        <w:r>
          <w:rPr>
            <w:noProof/>
            <w:webHidden/>
          </w:rPr>
          <w:t>29</w:t>
        </w:r>
        <w:r>
          <w:rPr>
            <w:noProof/>
            <w:webHidden/>
          </w:rPr>
          <w:fldChar w:fldCharType="end"/>
        </w:r>
      </w:hyperlink>
    </w:p>
    <w:p w:rsidR="00F14EAD" w:rsidRDefault="00F14EAD">
      <w:pPr>
        <w:pStyle w:val="TM3"/>
        <w:tabs>
          <w:tab w:val="left" w:pos="1320"/>
          <w:tab w:val="right" w:leader="dot" w:pos="9060"/>
        </w:tabs>
        <w:rPr>
          <w:rFonts w:asciiTheme="minorHAnsi" w:eastAsiaTheme="minorEastAsia" w:hAnsiTheme="minorHAnsi" w:cstheme="minorBidi"/>
          <w:noProof/>
          <w:sz w:val="22"/>
          <w:lang w:eastAsia="fr-FR"/>
        </w:rPr>
      </w:pPr>
      <w:hyperlink w:anchor="_Toc536448597" w:history="1">
        <w:r w:rsidRPr="008A09AB">
          <w:rPr>
            <w:rStyle w:val="Lienhypertexte"/>
            <w:noProof/>
          </w:rPr>
          <w:t>5.1.4</w:t>
        </w:r>
        <w:r>
          <w:rPr>
            <w:rFonts w:asciiTheme="minorHAnsi" w:eastAsiaTheme="minorEastAsia" w:hAnsiTheme="minorHAnsi" w:cstheme="minorBidi"/>
            <w:noProof/>
            <w:sz w:val="22"/>
            <w:lang w:eastAsia="fr-FR"/>
          </w:rPr>
          <w:tab/>
        </w:r>
        <w:r w:rsidRPr="008A09AB">
          <w:rPr>
            <w:rStyle w:val="Lienhypertexte"/>
            <w:noProof/>
          </w:rPr>
          <w:t>Principes importants d’intervention</w:t>
        </w:r>
        <w:r>
          <w:rPr>
            <w:noProof/>
            <w:webHidden/>
          </w:rPr>
          <w:tab/>
        </w:r>
        <w:r>
          <w:rPr>
            <w:noProof/>
            <w:webHidden/>
          </w:rPr>
          <w:fldChar w:fldCharType="begin"/>
        </w:r>
        <w:r>
          <w:rPr>
            <w:noProof/>
            <w:webHidden/>
          </w:rPr>
          <w:instrText xml:space="preserve"> PAGEREF _Toc536448597 \h </w:instrText>
        </w:r>
        <w:r>
          <w:rPr>
            <w:noProof/>
            <w:webHidden/>
          </w:rPr>
        </w:r>
        <w:r>
          <w:rPr>
            <w:noProof/>
            <w:webHidden/>
          </w:rPr>
          <w:fldChar w:fldCharType="separate"/>
        </w:r>
        <w:r>
          <w:rPr>
            <w:noProof/>
            <w:webHidden/>
          </w:rPr>
          <w:t>30</w:t>
        </w:r>
        <w:r>
          <w:rPr>
            <w:noProof/>
            <w:webHidden/>
          </w:rPr>
          <w:fldChar w:fldCharType="end"/>
        </w:r>
      </w:hyperlink>
    </w:p>
    <w:p w:rsidR="00F14EAD" w:rsidRDefault="00F14EAD">
      <w:pPr>
        <w:pStyle w:val="TM3"/>
        <w:tabs>
          <w:tab w:val="left" w:pos="1320"/>
          <w:tab w:val="right" w:leader="dot" w:pos="9060"/>
        </w:tabs>
        <w:rPr>
          <w:rFonts w:asciiTheme="minorHAnsi" w:eastAsiaTheme="minorEastAsia" w:hAnsiTheme="minorHAnsi" w:cstheme="minorBidi"/>
          <w:noProof/>
          <w:sz w:val="22"/>
          <w:lang w:eastAsia="fr-FR"/>
        </w:rPr>
      </w:pPr>
      <w:hyperlink w:anchor="_Toc536448598" w:history="1">
        <w:r w:rsidRPr="008A09AB">
          <w:rPr>
            <w:rStyle w:val="Lienhypertexte"/>
            <w:noProof/>
          </w:rPr>
          <w:t>5.1.5</w:t>
        </w:r>
        <w:r>
          <w:rPr>
            <w:rFonts w:asciiTheme="minorHAnsi" w:eastAsiaTheme="minorEastAsia" w:hAnsiTheme="minorHAnsi" w:cstheme="minorBidi"/>
            <w:noProof/>
            <w:sz w:val="22"/>
            <w:lang w:eastAsia="fr-FR"/>
          </w:rPr>
          <w:tab/>
        </w:r>
        <w:r w:rsidRPr="008A09AB">
          <w:rPr>
            <w:rStyle w:val="Lienhypertexte"/>
            <w:noProof/>
          </w:rPr>
          <w:t>Evaluation des résultats attendus de la PNA</w:t>
        </w:r>
        <w:r>
          <w:rPr>
            <w:noProof/>
            <w:webHidden/>
          </w:rPr>
          <w:tab/>
        </w:r>
        <w:r>
          <w:rPr>
            <w:noProof/>
            <w:webHidden/>
          </w:rPr>
          <w:fldChar w:fldCharType="begin"/>
        </w:r>
        <w:r>
          <w:rPr>
            <w:noProof/>
            <w:webHidden/>
          </w:rPr>
          <w:instrText xml:space="preserve"> PAGEREF _Toc536448598 \h </w:instrText>
        </w:r>
        <w:r>
          <w:rPr>
            <w:noProof/>
            <w:webHidden/>
          </w:rPr>
        </w:r>
        <w:r>
          <w:rPr>
            <w:noProof/>
            <w:webHidden/>
          </w:rPr>
          <w:fldChar w:fldCharType="separate"/>
        </w:r>
        <w:r>
          <w:rPr>
            <w:noProof/>
            <w:webHidden/>
          </w:rPr>
          <w:t>33</w:t>
        </w:r>
        <w:r>
          <w:rPr>
            <w:noProof/>
            <w:webHidden/>
          </w:rPr>
          <w:fldChar w:fldCharType="end"/>
        </w:r>
      </w:hyperlink>
    </w:p>
    <w:p w:rsidR="00F14EAD" w:rsidRDefault="00F14EAD">
      <w:pPr>
        <w:pStyle w:val="TM3"/>
        <w:tabs>
          <w:tab w:val="left" w:pos="1320"/>
          <w:tab w:val="right" w:leader="dot" w:pos="9060"/>
        </w:tabs>
        <w:rPr>
          <w:rFonts w:asciiTheme="minorHAnsi" w:eastAsiaTheme="minorEastAsia" w:hAnsiTheme="minorHAnsi" w:cstheme="minorBidi"/>
          <w:noProof/>
          <w:sz w:val="22"/>
          <w:lang w:eastAsia="fr-FR"/>
        </w:rPr>
      </w:pPr>
      <w:hyperlink w:anchor="_Toc536448599" w:history="1">
        <w:r w:rsidRPr="008A09AB">
          <w:rPr>
            <w:rStyle w:val="Lienhypertexte"/>
            <w:rFonts w:cstheme="minorHAnsi"/>
            <w:noProof/>
          </w:rPr>
          <w:t>5.1.6</w:t>
        </w:r>
        <w:r>
          <w:rPr>
            <w:rFonts w:asciiTheme="minorHAnsi" w:eastAsiaTheme="minorEastAsia" w:hAnsiTheme="minorHAnsi" w:cstheme="minorBidi"/>
            <w:noProof/>
            <w:sz w:val="22"/>
            <w:lang w:eastAsia="fr-FR"/>
          </w:rPr>
          <w:tab/>
        </w:r>
        <w:r w:rsidRPr="008A09AB">
          <w:rPr>
            <w:rStyle w:val="Lienhypertexte"/>
            <w:rFonts w:cstheme="minorHAnsi"/>
            <w:noProof/>
          </w:rPr>
          <w:t>Appréciation du pilotage de la PNA et des stratégies sous-sectorielles</w:t>
        </w:r>
        <w:r>
          <w:rPr>
            <w:noProof/>
            <w:webHidden/>
          </w:rPr>
          <w:tab/>
        </w:r>
        <w:r>
          <w:rPr>
            <w:noProof/>
            <w:webHidden/>
          </w:rPr>
          <w:fldChar w:fldCharType="begin"/>
        </w:r>
        <w:r>
          <w:rPr>
            <w:noProof/>
            <w:webHidden/>
          </w:rPr>
          <w:instrText xml:space="preserve"> PAGEREF _Toc536448599 \h </w:instrText>
        </w:r>
        <w:r>
          <w:rPr>
            <w:noProof/>
            <w:webHidden/>
          </w:rPr>
        </w:r>
        <w:r>
          <w:rPr>
            <w:noProof/>
            <w:webHidden/>
          </w:rPr>
          <w:fldChar w:fldCharType="separate"/>
        </w:r>
        <w:r>
          <w:rPr>
            <w:noProof/>
            <w:webHidden/>
          </w:rPr>
          <w:t>52</w:t>
        </w:r>
        <w:r>
          <w:rPr>
            <w:noProof/>
            <w:webHidden/>
          </w:rPr>
          <w:fldChar w:fldCharType="end"/>
        </w:r>
      </w:hyperlink>
    </w:p>
    <w:p w:rsidR="00F14EAD" w:rsidRDefault="00F14EAD">
      <w:pPr>
        <w:pStyle w:val="TM3"/>
        <w:tabs>
          <w:tab w:val="left" w:pos="1320"/>
          <w:tab w:val="right" w:leader="dot" w:pos="9060"/>
        </w:tabs>
        <w:rPr>
          <w:rFonts w:asciiTheme="minorHAnsi" w:eastAsiaTheme="minorEastAsia" w:hAnsiTheme="minorHAnsi" w:cstheme="minorBidi"/>
          <w:noProof/>
          <w:sz w:val="22"/>
          <w:lang w:eastAsia="fr-FR"/>
        </w:rPr>
      </w:pPr>
      <w:hyperlink w:anchor="_Toc536448600" w:history="1">
        <w:r w:rsidRPr="008A09AB">
          <w:rPr>
            <w:rStyle w:val="Lienhypertexte"/>
            <w:noProof/>
          </w:rPr>
          <w:t>5.1.7</w:t>
        </w:r>
        <w:r>
          <w:rPr>
            <w:rFonts w:asciiTheme="minorHAnsi" w:eastAsiaTheme="minorEastAsia" w:hAnsiTheme="minorHAnsi" w:cstheme="minorBidi"/>
            <w:noProof/>
            <w:sz w:val="22"/>
            <w:lang w:eastAsia="fr-FR"/>
          </w:rPr>
          <w:tab/>
        </w:r>
        <w:r w:rsidRPr="008A09AB">
          <w:rPr>
            <w:rStyle w:val="Lienhypertexte"/>
            <w:noProof/>
          </w:rPr>
          <w:t>Appréciation du niveau de mise en œuvre du cadre juridique</w:t>
        </w:r>
        <w:r>
          <w:rPr>
            <w:noProof/>
            <w:webHidden/>
          </w:rPr>
          <w:tab/>
        </w:r>
        <w:r>
          <w:rPr>
            <w:noProof/>
            <w:webHidden/>
          </w:rPr>
          <w:fldChar w:fldCharType="begin"/>
        </w:r>
        <w:r>
          <w:rPr>
            <w:noProof/>
            <w:webHidden/>
          </w:rPr>
          <w:instrText xml:space="preserve"> PAGEREF _Toc536448600 \h </w:instrText>
        </w:r>
        <w:r>
          <w:rPr>
            <w:noProof/>
            <w:webHidden/>
          </w:rPr>
        </w:r>
        <w:r>
          <w:rPr>
            <w:noProof/>
            <w:webHidden/>
          </w:rPr>
          <w:fldChar w:fldCharType="separate"/>
        </w:r>
        <w:r>
          <w:rPr>
            <w:noProof/>
            <w:webHidden/>
          </w:rPr>
          <w:t>56</w:t>
        </w:r>
        <w:r>
          <w:rPr>
            <w:noProof/>
            <w:webHidden/>
          </w:rPr>
          <w:fldChar w:fldCharType="end"/>
        </w:r>
      </w:hyperlink>
    </w:p>
    <w:p w:rsidR="00F14EAD" w:rsidRDefault="00F14EAD">
      <w:pPr>
        <w:pStyle w:val="TM2"/>
        <w:tabs>
          <w:tab w:val="left" w:pos="880"/>
          <w:tab w:val="right" w:leader="dot" w:pos="9060"/>
        </w:tabs>
        <w:rPr>
          <w:rFonts w:asciiTheme="minorHAnsi" w:eastAsiaTheme="minorEastAsia" w:hAnsiTheme="minorHAnsi" w:cstheme="minorBidi"/>
          <w:noProof/>
          <w:sz w:val="22"/>
          <w:lang w:eastAsia="fr-FR"/>
        </w:rPr>
      </w:pPr>
      <w:hyperlink w:anchor="_Toc536448601" w:history="1">
        <w:r w:rsidRPr="008A09AB">
          <w:rPr>
            <w:rStyle w:val="Lienhypertexte"/>
            <w:noProof/>
          </w:rPr>
          <w:t>5.2</w:t>
        </w:r>
        <w:r>
          <w:rPr>
            <w:rFonts w:asciiTheme="minorHAnsi" w:eastAsiaTheme="minorEastAsia" w:hAnsiTheme="minorHAnsi" w:cstheme="minorBidi"/>
            <w:noProof/>
            <w:sz w:val="22"/>
            <w:lang w:eastAsia="fr-FR"/>
          </w:rPr>
          <w:tab/>
        </w:r>
        <w:r w:rsidRPr="008A09AB">
          <w:rPr>
            <w:rStyle w:val="Lienhypertexte"/>
            <w:noProof/>
          </w:rPr>
          <w:t>Suivi-évaluation de la PNA et des 5 stratégies sous-sectorielles</w:t>
        </w:r>
        <w:r>
          <w:rPr>
            <w:noProof/>
            <w:webHidden/>
          </w:rPr>
          <w:tab/>
        </w:r>
        <w:r>
          <w:rPr>
            <w:noProof/>
            <w:webHidden/>
          </w:rPr>
          <w:fldChar w:fldCharType="begin"/>
        </w:r>
        <w:r>
          <w:rPr>
            <w:noProof/>
            <w:webHidden/>
          </w:rPr>
          <w:instrText xml:space="preserve"> PAGEREF _Toc536448601 \h </w:instrText>
        </w:r>
        <w:r>
          <w:rPr>
            <w:noProof/>
            <w:webHidden/>
          </w:rPr>
        </w:r>
        <w:r>
          <w:rPr>
            <w:noProof/>
            <w:webHidden/>
          </w:rPr>
          <w:fldChar w:fldCharType="separate"/>
        </w:r>
        <w:r>
          <w:rPr>
            <w:noProof/>
            <w:webHidden/>
          </w:rPr>
          <w:t>59</w:t>
        </w:r>
        <w:r>
          <w:rPr>
            <w:noProof/>
            <w:webHidden/>
          </w:rPr>
          <w:fldChar w:fldCharType="end"/>
        </w:r>
      </w:hyperlink>
    </w:p>
    <w:p w:rsidR="00F14EAD" w:rsidRDefault="00F14EAD">
      <w:pPr>
        <w:pStyle w:val="TM2"/>
        <w:tabs>
          <w:tab w:val="left" w:pos="880"/>
          <w:tab w:val="right" w:leader="dot" w:pos="9060"/>
        </w:tabs>
        <w:rPr>
          <w:rFonts w:asciiTheme="minorHAnsi" w:eastAsiaTheme="minorEastAsia" w:hAnsiTheme="minorHAnsi" w:cstheme="minorBidi"/>
          <w:noProof/>
          <w:sz w:val="22"/>
          <w:lang w:eastAsia="fr-FR"/>
        </w:rPr>
      </w:pPr>
      <w:hyperlink w:anchor="_Toc536448602" w:history="1">
        <w:r w:rsidRPr="008A09AB">
          <w:rPr>
            <w:rStyle w:val="Lienhypertexte"/>
            <w:noProof/>
          </w:rPr>
          <w:t>5.3</w:t>
        </w:r>
        <w:r>
          <w:rPr>
            <w:rFonts w:asciiTheme="minorHAnsi" w:eastAsiaTheme="minorEastAsia" w:hAnsiTheme="minorHAnsi" w:cstheme="minorBidi"/>
            <w:noProof/>
            <w:sz w:val="22"/>
            <w:lang w:eastAsia="fr-FR"/>
          </w:rPr>
          <w:tab/>
        </w:r>
        <w:r w:rsidRPr="008A09AB">
          <w:rPr>
            <w:rStyle w:val="Lienhypertexte"/>
            <w:noProof/>
          </w:rPr>
          <w:t>Evaluation selon les critères du Comité d’Aide au Développement (CAD)</w:t>
        </w:r>
        <w:r>
          <w:rPr>
            <w:noProof/>
            <w:webHidden/>
          </w:rPr>
          <w:tab/>
        </w:r>
        <w:r>
          <w:rPr>
            <w:noProof/>
            <w:webHidden/>
          </w:rPr>
          <w:fldChar w:fldCharType="begin"/>
        </w:r>
        <w:r>
          <w:rPr>
            <w:noProof/>
            <w:webHidden/>
          </w:rPr>
          <w:instrText xml:space="preserve"> PAGEREF _Toc536448602 \h </w:instrText>
        </w:r>
        <w:r>
          <w:rPr>
            <w:noProof/>
            <w:webHidden/>
          </w:rPr>
        </w:r>
        <w:r>
          <w:rPr>
            <w:noProof/>
            <w:webHidden/>
          </w:rPr>
          <w:fldChar w:fldCharType="separate"/>
        </w:r>
        <w:r>
          <w:rPr>
            <w:noProof/>
            <w:webHidden/>
          </w:rPr>
          <w:t>60</w:t>
        </w:r>
        <w:r>
          <w:rPr>
            <w:noProof/>
            <w:webHidden/>
          </w:rPr>
          <w:fldChar w:fldCharType="end"/>
        </w:r>
      </w:hyperlink>
    </w:p>
    <w:p w:rsidR="00F14EAD" w:rsidRDefault="00F14EAD">
      <w:pPr>
        <w:pStyle w:val="TM3"/>
        <w:tabs>
          <w:tab w:val="left" w:pos="1320"/>
          <w:tab w:val="right" w:leader="dot" w:pos="9060"/>
        </w:tabs>
        <w:rPr>
          <w:rFonts w:asciiTheme="minorHAnsi" w:eastAsiaTheme="minorEastAsia" w:hAnsiTheme="minorHAnsi" w:cstheme="minorBidi"/>
          <w:noProof/>
          <w:sz w:val="22"/>
          <w:lang w:eastAsia="fr-FR"/>
        </w:rPr>
      </w:pPr>
      <w:hyperlink w:anchor="_Toc536448603" w:history="1">
        <w:r w:rsidRPr="008A09AB">
          <w:rPr>
            <w:rStyle w:val="Lienhypertexte"/>
            <w:noProof/>
          </w:rPr>
          <w:t>5.3.1</w:t>
        </w:r>
        <w:r>
          <w:rPr>
            <w:rFonts w:asciiTheme="minorHAnsi" w:eastAsiaTheme="minorEastAsia" w:hAnsiTheme="minorHAnsi" w:cstheme="minorBidi"/>
            <w:noProof/>
            <w:sz w:val="22"/>
            <w:lang w:eastAsia="fr-FR"/>
          </w:rPr>
          <w:tab/>
        </w:r>
        <w:r w:rsidRPr="008A09AB">
          <w:rPr>
            <w:rStyle w:val="Lienhypertexte"/>
            <w:noProof/>
          </w:rPr>
          <w:t>La pertinence</w:t>
        </w:r>
        <w:r>
          <w:rPr>
            <w:noProof/>
            <w:webHidden/>
          </w:rPr>
          <w:tab/>
        </w:r>
        <w:r>
          <w:rPr>
            <w:noProof/>
            <w:webHidden/>
          </w:rPr>
          <w:fldChar w:fldCharType="begin"/>
        </w:r>
        <w:r>
          <w:rPr>
            <w:noProof/>
            <w:webHidden/>
          </w:rPr>
          <w:instrText xml:space="preserve"> PAGEREF _Toc536448603 \h </w:instrText>
        </w:r>
        <w:r>
          <w:rPr>
            <w:noProof/>
            <w:webHidden/>
          </w:rPr>
        </w:r>
        <w:r>
          <w:rPr>
            <w:noProof/>
            <w:webHidden/>
          </w:rPr>
          <w:fldChar w:fldCharType="separate"/>
        </w:r>
        <w:r>
          <w:rPr>
            <w:noProof/>
            <w:webHidden/>
          </w:rPr>
          <w:t>60</w:t>
        </w:r>
        <w:r>
          <w:rPr>
            <w:noProof/>
            <w:webHidden/>
          </w:rPr>
          <w:fldChar w:fldCharType="end"/>
        </w:r>
      </w:hyperlink>
    </w:p>
    <w:p w:rsidR="00F14EAD" w:rsidRDefault="00F14EAD">
      <w:pPr>
        <w:pStyle w:val="TM3"/>
        <w:tabs>
          <w:tab w:val="left" w:pos="1320"/>
          <w:tab w:val="right" w:leader="dot" w:pos="9060"/>
        </w:tabs>
        <w:rPr>
          <w:rFonts w:asciiTheme="minorHAnsi" w:eastAsiaTheme="minorEastAsia" w:hAnsiTheme="minorHAnsi" w:cstheme="minorBidi"/>
          <w:noProof/>
          <w:sz w:val="22"/>
          <w:lang w:eastAsia="fr-FR"/>
        </w:rPr>
      </w:pPr>
      <w:hyperlink w:anchor="_Toc536448604" w:history="1">
        <w:r w:rsidRPr="008A09AB">
          <w:rPr>
            <w:rStyle w:val="Lienhypertexte"/>
            <w:noProof/>
          </w:rPr>
          <w:t>5.3.2</w:t>
        </w:r>
        <w:r>
          <w:rPr>
            <w:rFonts w:asciiTheme="minorHAnsi" w:eastAsiaTheme="minorEastAsia" w:hAnsiTheme="minorHAnsi" w:cstheme="minorBidi"/>
            <w:noProof/>
            <w:sz w:val="22"/>
            <w:lang w:eastAsia="fr-FR"/>
          </w:rPr>
          <w:tab/>
        </w:r>
        <w:r w:rsidRPr="008A09AB">
          <w:rPr>
            <w:rStyle w:val="Lienhypertexte"/>
            <w:noProof/>
          </w:rPr>
          <w:t>L’efficacité</w:t>
        </w:r>
        <w:r>
          <w:rPr>
            <w:noProof/>
            <w:webHidden/>
          </w:rPr>
          <w:tab/>
        </w:r>
        <w:r>
          <w:rPr>
            <w:noProof/>
            <w:webHidden/>
          </w:rPr>
          <w:fldChar w:fldCharType="begin"/>
        </w:r>
        <w:r>
          <w:rPr>
            <w:noProof/>
            <w:webHidden/>
          </w:rPr>
          <w:instrText xml:space="preserve"> PAGEREF _Toc536448604 \h </w:instrText>
        </w:r>
        <w:r>
          <w:rPr>
            <w:noProof/>
            <w:webHidden/>
          </w:rPr>
        </w:r>
        <w:r>
          <w:rPr>
            <w:noProof/>
            <w:webHidden/>
          </w:rPr>
          <w:fldChar w:fldCharType="separate"/>
        </w:r>
        <w:r>
          <w:rPr>
            <w:noProof/>
            <w:webHidden/>
          </w:rPr>
          <w:t>61</w:t>
        </w:r>
        <w:r>
          <w:rPr>
            <w:noProof/>
            <w:webHidden/>
          </w:rPr>
          <w:fldChar w:fldCharType="end"/>
        </w:r>
      </w:hyperlink>
    </w:p>
    <w:p w:rsidR="00F14EAD" w:rsidRDefault="00F14EAD">
      <w:pPr>
        <w:pStyle w:val="TM3"/>
        <w:tabs>
          <w:tab w:val="left" w:pos="1320"/>
          <w:tab w:val="right" w:leader="dot" w:pos="9060"/>
        </w:tabs>
        <w:rPr>
          <w:rFonts w:asciiTheme="minorHAnsi" w:eastAsiaTheme="minorEastAsia" w:hAnsiTheme="minorHAnsi" w:cstheme="minorBidi"/>
          <w:noProof/>
          <w:sz w:val="22"/>
          <w:lang w:eastAsia="fr-FR"/>
        </w:rPr>
      </w:pPr>
      <w:hyperlink w:anchor="_Toc536448605" w:history="1">
        <w:r w:rsidRPr="008A09AB">
          <w:rPr>
            <w:rStyle w:val="Lienhypertexte"/>
            <w:noProof/>
          </w:rPr>
          <w:t>5.3.3</w:t>
        </w:r>
        <w:r>
          <w:rPr>
            <w:rFonts w:asciiTheme="minorHAnsi" w:eastAsiaTheme="minorEastAsia" w:hAnsiTheme="minorHAnsi" w:cstheme="minorBidi"/>
            <w:noProof/>
            <w:sz w:val="22"/>
            <w:lang w:eastAsia="fr-FR"/>
          </w:rPr>
          <w:tab/>
        </w:r>
        <w:r w:rsidRPr="008A09AB">
          <w:rPr>
            <w:rStyle w:val="Lienhypertexte"/>
            <w:noProof/>
          </w:rPr>
          <w:t>L’efficience</w:t>
        </w:r>
        <w:r>
          <w:rPr>
            <w:noProof/>
            <w:webHidden/>
          </w:rPr>
          <w:tab/>
        </w:r>
        <w:r>
          <w:rPr>
            <w:noProof/>
            <w:webHidden/>
          </w:rPr>
          <w:fldChar w:fldCharType="begin"/>
        </w:r>
        <w:r>
          <w:rPr>
            <w:noProof/>
            <w:webHidden/>
          </w:rPr>
          <w:instrText xml:space="preserve"> PAGEREF _Toc536448605 \h </w:instrText>
        </w:r>
        <w:r>
          <w:rPr>
            <w:noProof/>
            <w:webHidden/>
          </w:rPr>
        </w:r>
        <w:r>
          <w:rPr>
            <w:noProof/>
            <w:webHidden/>
          </w:rPr>
          <w:fldChar w:fldCharType="separate"/>
        </w:r>
        <w:r>
          <w:rPr>
            <w:noProof/>
            <w:webHidden/>
          </w:rPr>
          <w:t>63</w:t>
        </w:r>
        <w:r>
          <w:rPr>
            <w:noProof/>
            <w:webHidden/>
          </w:rPr>
          <w:fldChar w:fldCharType="end"/>
        </w:r>
      </w:hyperlink>
    </w:p>
    <w:p w:rsidR="00F14EAD" w:rsidRDefault="00F14EAD">
      <w:pPr>
        <w:pStyle w:val="TM3"/>
        <w:tabs>
          <w:tab w:val="left" w:pos="1320"/>
          <w:tab w:val="right" w:leader="dot" w:pos="9060"/>
        </w:tabs>
        <w:rPr>
          <w:rFonts w:asciiTheme="minorHAnsi" w:eastAsiaTheme="minorEastAsia" w:hAnsiTheme="minorHAnsi" w:cstheme="minorBidi"/>
          <w:noProof/>
          <w:sz w:val="22"/>
          <w:lang w:eastAsia="fr-FR"/>
        </w:rPr>
      </w:pPr>
      <w:hyperlink w:anchor="_Toc536448606" w:history="1">
        <w:r w:rsidRPr="008A09AB">
          <w:rPr>
            <w:rStyle w:val="Lienhypertexte"/>
            <w:noProof/>
          </w:rPr>
          <w:t>5.3.4</w:t>
        </w:r>
        <w:r>
          <w:rPr>
            <w:rFonts w:asciiTheme="minorHAnsi" w:eastAsiaTheme="minorEastAsia" w:hAnsiTheme="minorHAnsi" w:cstheme="minorBidi"/>
            <w:noProof/>
            <w:sz w:val="22"/>
            <w:lang w:eastAsia="fr-FR"/>
          </w:rPr>
          <w:tab/>
        </w:r>
        <w:r w:rsidRPr="008A09AB">
          <w:rPr>
            <w:rStyle w:val="Lienhypertexte"/>
            <w:noProof/>
          </w:rPr>
          <w:t>Les effets et impacts</w:t>
        </w:r>
        <w:r>
          <w:rPr>
            <w:noProof/>
            <w:webHidden/>
          </w:rPr>
          <w:tab/>
        </w:r>
        <w:r>
          <w:rPr>
            <w:noProof/>
            <w:webHidden/>
          </w:rPr>
          <w:fldChar w:fldCharType="begin"/>
        </w:r>
        <w:r>
          <w:rPr>
            <w:noProof/>
            <w:webHidden/>
          </w:rPr>
          <w:instrText xml:space="preserve"> PAGEREF _Toc536448606 \h </w:instrText>
        </w:r>
        <w:r>
          <w:rPr>
            <w:noProof/>
            <w:webHidden/>
          </w:rPr>
        </w:r>
        <w:r>
          <w:rPr>
            <w:noProof/>
            <w:webHidden/>
          </w:rPr>
          <w:fldChar w:fldCharType="separate"/>
        </w:r>
        <w:r>
          <w:rPr>
            <w:noProof/>
            <w:webHidden/>
          </w:rPr>
          <w:t>64</w:t>
        </w:r>
        <w:r>
          <w:rPr>
            <w:noProof/>
            <w:webHidden/>
          </w:rPr>
          <w:fldChar w:fldCharType="end"/>
        </w:r>
      </w:hyperlink>
    </w:p>
    <w:p w:rsidR="00F14EAD" w:rsidRDefault="00F14EAD">
      <w:pPr>
        <w:pStyle w:val="TM3"/>
        <w:tabs>
          <w:tab w:val="left" w:pos="1320"/>
          <w:tab w:val="right" w:leader="dot" w:pos="9060"/>
        </w:tabs>
        <w:rPr>
          <w:rFonts w:asciiTheme="minorHAnsi" w:eastAsiaTheme="minorEastAsia" w:hAnsiTheme="minorHAnsi" w:cstheme="minorBidi"/>
          <w:noProof/>
          <w:sz w:val="22"/>
          <w:lang w:eastAsia="fr-FR"/>
        </w:rPr>
      </w:pPr>
      <w:hyperlink w:anchor="_Toc536448607" w:history="1">
        <w:r w:rsidRPr="008A09AB">
          <w:rPr>
            <w:rStyle w:val="Lienhypertexte"/>
            <w:noProof/>
          </w:rPr>
          <w:t>5.3.5</w:t>
        </w:r>
        <w:r>
          <w:rPr>
            <w:rFonts w:asciiTheme="minorHAnsi" w:eastAsiaTheme="minorEastAsia" w:hAnsiTheme="minorHAnsi" w:cstheme="minorBidi"/>
            <w:noProof/>
            <w:sz w:val="22"/>
            <w:lang w:eastAsia="fr-FR"/>
          </w:rPr>
          <w:tab/>
        </w:r>
        <w:r w:rsidRPr="008A09AB">
          <w:rPr>
            <w:rStyle w:val="Lienhypertexte"/>
            <w:noProof/>
          </w:rPr>
          <w:t>La durabilité/viabilité</w:t>
        </w:r>
        <w:r>
          <w:rPr>
            <w:noProof/>
            <w:webHidden/>
          </w:rPr>
          <w:tab/>
        </w:r>
        <w:r>
          <w:rPr>
            <w:noProof/>
            <w:webHidden/>
          </w:rPr>
          <w:fldChar w:fldCharType="begin"/>
        </w:r>
        <w:r>
          <w:rPr>
            <w:noProof/>
            <w:webHidden/>
          </w:rPr>
          <w:instrText xml:space="preserve"> PAGEREF _Toc536448607 \h </w:instrText>
        </w:r>
        <w:r>
          <w:rPr>
            <w:noProof/>
            <w:webHidden/>
          </w:rPr>
        </w:r>
        <w:r>
          <w:rPr>
            <w:noProof/>
            <w:webHidden/>
          </w:rPr>
          <w:fldChar w:fldCharType="separate"/>
        </w:r>
        <w:r>
          <w:rPr>
            <w:noProof/>
            <w:webHidden/>
          </w:rPr>
          <w:t>64</w:t>
        </w:r>
        <w:r>
          <w:rPr>
            <w:noProof/>
            <w:webHidden/>
          </w:rPr>
          <w:fldChar w:fldCharType="end"/>
        </w:r>
      </w:hyperlink>
    </w:p>
    <w:p w:rsidR="00F14EAD" w:rsidRDefault="00F14EAD">
      <w:pPr>
        <w:pStyle w:val="TM1"/>
        <w:tabs>
          <w:tab w:val="left" w:pos="440"/>
          <w:tab w:val="right" w:leader="dot" w:pos="9060"/>
        </w:tabs>
        <w:rPr>
          <w:rFonts w:asciiTheme="minorHAnsi" w:eastAsiaTheme="minorEastAsia" w:hAnsiTheme="minorHAnsi" w:cstheme="minorBidi"/>
          <w:noProof/>
          <w:sz w:val="22"/>
          <w:lang w:eastAsia="fr-FR"/>
        </w:rPr>
      </w:pPr>
      <w:hyperlink w:anchor="_Toc536448608" w:history="1">
        <w:r w:rsidRPr="008A09AB">
          <w:rPr>
            <w:rStyle w:val="Lienhypertexte"/>
            <w:rFonts w:cstheme="minorHAnsi"/>
            <w:noProof/>
          </w:rPr>
          <w:t>6</w:t>
        </w:r>
        <w:r>
          <w:rPr>
            <w:rFonts w:asciiTheme="minorHAnsi" w:eastAsiaTheme="minorEastAsia" w:hAnsiTheme="minorHAnsi" w:cstheme="minorBidi"/>
            <w:noProof/>
            <w:sz w:val="22"/>
            <w:lang w:eastAsia="fr-FR"/>
          </w:rPr>
          <w:tab/>
        </w:r>
        <w:r w:rsidRPr="008A09AB">
          <w:rPr>
            <w:rStyle w:val="Lienhypertexte"/>
            <w:rFonts w:cstheme="minorHAnsi"/>
            <w:noProof/>
          </w:rPr>
          <w:t>CONCLUSIONS ET RECOMMANDATIONS POUR LA PNA-HORIZON 2030 :</w:t>
        </w:r>
        <w:r>
          <w:rPr>
            <w:noProof/>
            <w:webHidden/>
          </w:rPr>
          <w:tab/>
        </w:r>
        <w:r>
          <w:rPr>
            <w:noProof/>
            <w:webHidden/>
          </w:rPr>
          <w:fldChar w:fldCharType="begin"/>
        </w:r>
        <w:r>
          <w:rPr>
            <w:noProof/>
            <w:webHidden/>
          </w:rPr>
          <w:instrText xml:space="preserve"> PAGEREF _Toc536448608 \h </w:instrText>
        </w:r>
        <w:r>
          <w:rPr>
            <w:noProof/>
            <w:webHidden/>
          </w:rPr>
        </w:r>
        <w:r>
          <w:rPr>
            <w:noProof/>
            <w:webHidden/>
          </w:rPr>
          <w:fldChar w:fldCharType="separate"/>
        </w:r>
        <w:r>
          <w:rPr>
            <w:noProof/>
            <w:webHidden/>
          </w:rPr>
          <w:t>65</w:t>
        </w:r>
        <w:r>
          <w:rPr>
            <w:noProof/>
            <w:webHidden/>
          </w:rPr>
          <w:fldChar w:fldCharType="end"/>
        </w:r>
      </w:hyperlink>
    </w:p>
    <w:p w:rsidR="00F14EAD" w:rsidRDefault="00F14EAD">
      <w:pPr>
        <w:pStyle w:val="TM2"/>
        <w:tabs>
          <w:tab w:val="left" w:pos="880"/>
          <w:tab w:val="right" w:leader="dot" w:pos="9060"/>
        </w:tabs>
        <w:rPr>
          <w:rFonts w:asciiTheme="minorHAnsi" w:eastAsiaTheme="minorEastAsia" w:hAnsiTheme="minorHAnsi" w:cstheme="minorBidi"/>
          <w:noProof/>
          <w:sz w:val="22"/>
          <w:lang w:eastAsia="fr-FR"/>
        </w:rPr>
      </w:pPr>
      <w:hyperlink w:anchor="_Toc536448609" w:history="1">
        <w:r w:rsidRPr="008A09AB">
          <w:rPr>
            <w:rStyle w:val="Lienhypertexte"/>
            <w:noProof/>
          </w:rPr>
          <w:t>6.1</w:t>
        </w:r>
        <w:r>
          <w:rPr>
            <w:rFonts w:asciiTheme="minorHAnsi" w:eastAsiaTheme="minorEastAsia" w:hAnsiTheme="minorHAnsi" w:cstheme="minorBidi"/>
            <w:noProof/>
            <w:sz w:val="22"/>
            <w:lang w:eastAsia="fr-FR"/>
          </w:rPr>
          <w:tab/>
        </w:r>
        <w:r w:rsidRPr="008A09AB">
          <w:rPr>
            <w:rStyle w:val="Lienhypertexte"/>
            <w:noProof/>
          </w:rPr>
          <w:t>Conclusions :</w:t>
        </w:r>
        <w:r>
          <w:rPr>
            <w:noProof/>
            <w:webHidden/>
          </w:rPr>
          <w:tab/>
        </w:r>
        <w:r>
          <w:rPr>
            <w:noProof/>
            <w:webHidden/>
          </w:rPr>
          <w:fldChar w:fldCharType="begin"/>
        </w:r>
        <w:r>
          <w:rPr>
            <w:noProof/>
            <w:webHidden/>
          </w:rPr>
          <w:instrText xml:space="preserve"> PAGEREF _Toc536448609 \h </w:instrText>
        </w:r>
        <w:r>
          <w:rPr>
            <w:noProof/>
            <w:webHidden/>
          </w:rPr>
        </w:r>
        <w:r>
          <w:rPr>
            <w:noProof/>
            <w:webHidden/>
          </w:rPr>
          <w:fldChar w:fldCharType="separate"/>
        </w:r>
        <w:r>
          <w:rPr>
            <w:noProof/>
            <w:webHidden/>
          </w:rPr>
          <w:t>65</w:t>
        </w:r>
        <w:r>
          <w:rPr>
            <w:noProof/>
            <w:webHidden/>
          </w:rPr>
          <w:fldChar w:fldCharType="end"/>
        </w:r>
      </w:hyperlink>
    </w:p>
    <w:p w:rsidR="00F14EAD" w:rsidRDefault="00F14EAD">
      <w:pPr>
        <w:pStyle w:val="TM2"/>
        <w:tabs>
          <w:tab w:val="left" w:pos="880"/>
          <w:tab w:val="right" w:leader="dot" w:pos="9060"/>
        </w:tabs>
        <w:rPr>
          <w:rFonts w:asciiTheme="minorHAnsi" w:eastAsiaTheme="minorEastAsia" w:hAnsiTheme="minorHAnsi" w:cstheme="minorBidi"/>
          <w:noProof/>
          <w:sz w:val="22"/>
          <w:lang w:eastAsia="fr-FR"/>
        </w:rPr>
      </w:pPr>
      <w:hyperlink w:anchor="_Toc536448610" w:history="1">
        <w:r w:rsidRPr="008A09AB">
          <w:rPr>
            <w:rStyle w:val="Lienhypertexte"/>
            <w:noProof/>
          </w:rPr>
          <w:t>6.2</w:t>
        </w:r>
        <w:r>
          <w:rPr>
            <w:rFonts w:asciiTheme="minorHAnsi" w:eastAsiaTheme="minorEastAsia" w:hAnsiTheme="minorHAnsi" w:cstheme="minorBidi"/>
            <w:noProof/>
            <w:sz w:val="22"/>
            <w:lang w:eastAsia="fr-FR"/>
          </w:rPr>
          <w:tab/>
        </w:r>
        <w:r w:rsidRPr="008A09AB">
          <w:rPr>
            <w:rStyle w:val="Lienhypertexte"/>
            <w:noProof/>
          </w:rPr>
          <w:t>Recommandations :</w:t>
        </w:r>
        <w:r>
          <w:rPr>
            <w:noProof/>
            <w:webHidden/>
          </w:rPr>
          <w:tab/>
        </w:r>
        <w:r>
          <w:rPr>
            <w:noProof/>
            <w:webHidden/>
          </w:rPr>
          <w:fldChar w:fldCharType="begin"/>
        </w:r>
        <w:r>
          <w:rPr>
            <w:noProof/>
            <w:webHidden/>
          </w:rPr>
          <w:instrText xml:space="preserve"> PAGEREF _Toc536448610 \h </w:instrText>
        </w:r>
        <w:r>
          <w:rPr>
            <w:noProof/>
            <w:webHidden/>
          </w:rPr>
        </w:r>
        <w:r>
          <w:rPr>
            <w:noProof/>
            <w:webHidden/>
          </w:rPr>
          <w:fldChar w:fldCharType="separate"/>
        </w:r>
        <w:r>
          <w:rPr>
            <w:noProof/>
            <w:webHidden/>
          </w:rPr>
          <w:t>66</w:t>
        </w:r>
        <w:r>
          <w:rPr>
            <w:noProof/>
            <w:webHidden/>
          </w:rPr>
          <w:fldChar w:fldCharType="end"/>
        </w:r>
      </w:hyperlink>
    </w:p>
    <w:p w:rsidR="00F14EAD" w:rsidRDefault="00F14EAD">
      <w:pPr>
        <w:pStyle w:val="TM3"/>
        <w:tabs>
          <w:tab w:val="left" w:pos="1320"/>
          <w:tab w:val="right" w:leader="dot" w:pos="9060"/>
        </w:tabs>
        <w:rPr>
          <w:rFonts w:asciiTheme="minorHAnsi" w:eastAsiaTheme="minorEastAsia" w:hAnsiTheme="minorHAnsi" w:cstheme="minorBidi"/>
          <w:noProof/>
          <w:sz w:val="22"/>
          <w:lang w:eastAsia="fr-FR"/>
        </w:rPr>
      </w:pPr>
      <w:hyperlink w:anchor="_Toc536448611" w:history="1">
        <w:r w:rsidRPr="008A09AB">
          <w:rPr>
            <w:rStyle w:val="Lienhypertexte"/>
            <w:rFonts w:cstheme="minorHAnsi"/>
            <w:noProof/>
          </w:rPr>
          <w:t>6.2.1</w:t>
        </w:r>
        <w:r>
          <w:rPr>
            <w:rFonts w:asciiTheme="minorHAnsi" w:eastAsiaTheme="minorEastAsia" w:hAnsiTheme="minorHAnsi" w:cstheme="minorBidi"/>
            <w:noProof/>
            <w:sz w:val="22"/>
            <w:lang w:eastAsia="fr-FR"/>
          </w:rPr>
          <w:tab/>
        </w:r>
        <w:r w:rsidRPr="008A09AB">
          <w:rPr>
            <w:rStyle w:val="Lienhypertexte"/>
            <w:rFonts w:cstheme="minorHAnsi"/>
            <w:noProof/>
          </w:rPr>
          <w:t>Cadre institutionnel, du pilotage et de la coordination</w:t>
        </w:r>
        <w:r>
          <w:rPr>
            <w:noProof/>
            <w:webHidden/>
          </w:rPr>
          <w:tab/>
        </w:r>
        <w:r>
          <w:rPr>
            <w:noProof/>
            <w:webHidden/>
          </w:rPr>
          <w:fldChar w:fldCharType="begin"/>
        </w:r>
        <w:r>
          <w:rPr>
            <w:noProof/>
            <w:webHidden/>
          </w:rPr>
          <w:instrText xml:space="preserve"> PAGEREF _Toc536448611 \h </w:instrText>
        </w:r>
        <w:r>
          <w:rPr>
            <w:noProof/>
            <w:webHidden/>
          </w:rPr>
        </w:r>
        <w:r>
          <w:rPr>
            <w:noProof/>
            <w:webHidden/>
          </w:rPr>
          <w:fldChar w:fldCharType="separate"/>
        </w:r>
        <w:r>
          <w:rPr>
            <w:noProof/>
            <w:webHidden/>
          </w:rPr>
          <w:t>66</w:t>
        </w:r>
        <w:r>
          <w:rPr>
            <w:noProof/>
            <w:webHidden/>
          </w:rPr>
          <w:fldChar w:fldCharType="end"/>
        </w:r>
      </w:hyperlink>
    </w:p>
    <w:p w:rsidR="00F14EAD" w:rsidRDefault="00F14EAD">
      <w:pPr>
        <w:pStyle w:val="TM3"/>
        <w:tabs>
          <w:tab w:val="left" w:pos="1320"/>
          <w:tab w:val="right" w:leader="dot" w:pos="9060"/>
        </w:tabs>
        <w:rPr>
          <w:rFonts w:asciiTheme="minorHAnsi" w:eastAsiaTheme="minorEastAsia" w:hAnsiTheme="minorHAnsi" w:cstheme="minorBidi"/>
          <w:noProof/>
          <w:sz w:val="22"/>
          <w:lang w:eastAsia="fr-FR"/>
        </w:rPr>
      </w:pPr>
      <w:hyperlink w:anchor="_Toc536448612" w:history="1">
        <w:r w:rsidRPr="008A09AB">
          <w:rPr>
            <w:rStyle w:val="Lienhypertexte"/>
            <w:rFonts w:cstheme="minorHAnsi"/>
            <w:noProof/>
          </w:rPr>
          <w:t>6.2.2</w:t>
        </w:r>
        <w:r>
          <w:rPr>
            <w:rFonts w:asciiTheme="minorHAnsi" w:eastAsiaTheme="minorEastAsia" w:hAnsiTheme="minorHAnsi" w:cstheme="minorBidi"/>
            <w:noProof/>
            <w:sz w:val="22"/>
            <w:lang w:eastAsia="fr-FR"/>
          </w:rPr>
          <w:tab/>
        </w:r>
        <w:r w:rsidRPr="008A09AB">
          <w:rPr>
            <w:rStyle w:val="Lienhypertexte"/>
            <w:rFonts w:cstheme="minorHAnsi"/>
            <w:noProof/>
          </w:rPr>
          <w:t>Equité/inclusion</w:t>
        </w:r>
        <w:r>
          <w:rPr>
            <w:noProof/>
            <w:webHidden/>
          </w:rPr>
          <w:tab/>
        </w:r>
        <w:r>
          <w:rPr>
            <w:noProof/>
            <w:webHidden/>
          </w:rPr>
          <w:fldChar w:fldCharType="begin"/>
        </w:r>
        <w:r>
          <w:rPr>
            <w:noProof/>
            <w:webHidden/>
          </w:rPr>
          <w:instrText xml:space="preserve"> PAGEREF _Toc536448612 \h </w:instrText>
        </w:r>
        <w:r>
          <w:rPr>
            <w:noProof/>
            <w:webHidden/>
          </w:rPr>
        </w:r>
        <w:r>
          <w:rPr>
            <w:noProof/>
            <w:webHidden/>
          </w:rPr>
          <w:fldChar w:fldCharType="separate"/>
        </w:r>
        <w:r>
          <w:rPr>
            <w:noProof/>
            <w:webHidden/>
          </w:rPr>
          <w:t>66</w:t>
        </w:r>
        <w:r>
          <w:rPr>
            <w:noProof/>
            <w:webHidden/>
          </w:rPr>
          <w:fldChar w:fldCharType="end"/>
        </w:r>
      </w:hyperlink>
    </w:p>
    <w:p w:rsidR="00F14EAD" w:rsidRDefault="00F14EAD">
      <w:pPr>
        <w:pStyle w:val="TM3"/>
        <w:tabs>
          <w:tab w:val="left" w:pos="1320"/>
          <w:tab w:val="right" w:leader="dot" w:pos="9060"/>
        </w:tabs>
        <w:rPr>
          <w:rFonts w:asciiTheme="minorHAnsi" w:eastAsiaTheme="minorEastAsia" w:hAnsiTheme="minorHAnsi" w:cstheme="minorBidi"/>
          <w:noProof/>
          <w:sz w:val="22"/>
          <w:lang w:eastAsia="fr-FR"/>
        </w:rPr>
      </w:pPr>
      <w:hyperlink w:anchor="_Toc536448613" w:history="1">
        <w:r w:rsidRPr="008A09AB">
          <w:rPr>
            <w:rStyle w:val="Lienhypertexte"/>
            <w:rFonts w:cstheme="minorHAnsi"/>
            <w:noProof/>
          </w:rPr>
          <w:t>6.2.3</w:t>
        </w:r>
        <w:r>
          <w:rPr>
            <w:rFonts w:asciiTheme="minorHAnsi" w:eastAsiaTheme="minorEastAsia" w:hAnsiTheme="minorHAnsi" w:cstheme="minorBidi"/>
            <w:noProof/>
            <w:sz w:val="22"/>
            <w:lang w:eastAsia="fr-FR"/>
          </w:rPr>
          <w:tab/>
        </w:r>
        <w:r w:rsidRPr="008A09AB">
          <w:rPr>
            <w:rStyle w:val="Lienhypertexte"/>
            <w:rFonts w:cstheme="minorHAnsi"/>
            <w:noProof/>
          </w:rPr>
          <w:t>Système de suivi et évaluation de la PNA et des stratégies sous-sectorielles</w:t>
        </w:r>
        <w:r>
          <w:rPr>
            <w:noProof/>
            <w:webHidden/>
          </w:rPr>
          <w:tab/>
        </w:r>
        <w:r>
          <w:rPr>
            <w:noProof/>
            <w:webHidden/>
          </w:rPr>
          <w:fldChar w:fldCharType="begin"/>
        </w:r>
        <w:r>
          <w:rPr>
            <w:noProof/>
            <w:webHidden/>
          </w:rPr>
          <w:instrText xml:space="preserve"> PAGEREF _Toc536448613 \h </w:instrText>
        </w:r>
        <w:r>
          <w:rPr>
            <w:noProof/>
            <w:webHidden/>
          </w:rPr>
        </w:r>
        <w:r>
          <w:rPr>
            <w:noProof/>
            <w:webHidden/>
          </w:rPr>
          <w:fldChar w:fldCharType="separate"/>
        </w:r>
        <w:r>
          <w:rPr>
            <w:noProof/>
            <w:webHidden/>
          </w:rPr>
          <w:t>66</w:t>
        </w:r>
        <w:r>
          <w:rPr>
            <w:noProof/>
            <w:webHidden/>
          </w:rPr>
          <w:fldChar w:fldCharType="end"/>
        </w:r>
      </w:hyperlink>
    </w:p>
    <w:p w:rsidR="00F14EAD" w:rsidRDefault="00F14EAD">
      <w:pPr>
        <w:pStyle w:val="TM3"/>
        <w:tabs>
          <w:tab w:val="left" w:pos="1320"/>
          <w:tab w:val="right" w:leader="dot" w:pos="9060"/>
        </w:tabs>
        <w:rPr>
          <w:rFonts w:asciiTheme="minorHAnsi" w:eastAsiaTheme="minorEastAsia" w:hAnsiTheme="minorHAnsi" w:cstheme="minorBidi"/>
          <w:noProof/>
          <w:sz w:val="22"/>
          <w:lang w:eastAsia="fr-FR"/>
        </w:rPr>
      </w:pPr>
      <w:hyperlink w:anchor="_Toc536448614" w:history="1">
        <w:r w:rsidRPr="008A09AB">
          <w:rPr>
            <w:rStyle w:val="Lienhypertexte"/>
            <w:rFonts w:cstheme="minorHAnsi"/>
            <w:noProof/>
          </w:rPr>
          <w:t>6.2.4</w:t>
        </w:r>
        <w:r>
          <w:rPr>
            <w:rFonts w:asciiTheme="minorHAnsi" w:eastAsiaTheme="minorEastAsia" w:hAnsiTheme="minorHAnsi" w:cstheme="minorBidi"/>
            <w:noProof/>
            <w:sz w:val="22"/>
            <w:lang w:eastAsia="fr-FR"/>
          </w:rPr>
          <w:tab/>
        </w:r>
        <w:r w:rsidRPr="008A09AB">
          <w:rPr>
            <w:rStyle w:val="Lienhypertexte"/>
            <w:rFonts w:cstheme="minorHAnsi"/>
            <w:noProof/>
          </w:rPr>
          <w:t>Recommandation pour encadrer le processus de relecture et de formulation de la PNA_Horizon 2030</w:t>
        </w:r>
        <w:r>
          <w:rPr>
            <w:noProof/>
            <w:webHidden/>
          </w:rPr>
          <w:tab/>
        </w:r>
        <w:r>
          <w:rPr>
            <w:noProof/>
            <w:webHidden/>
          </w:rPr>
          <w:fldChar w:fldCharType="begin"/>
        </w:r>
        <w:r>
          <w:rPr>
            <w:noProof/>
            <w:webHidden/>
          </w:rPr>
          <w:instrText xml:space="preserve"> PAGEREF _Toc536448614 \h </w:instrText>
        </w:r>
        <w:r>
          <w:rPr>
            <w:noProof/>
            <w:webHidden/>
          </w:rPr>
        </w:r>
        <w:r>
          <w:rPr>
            <w:noProof/>
            <w:webHidden/>
          </w:rPr>
          <w:fldChar w:fldCharType="separate"/>
        </w:r>
        <w:r>
          <w:rPr>
            <w:noProof/>
            <w:webHidden/>
          </w:rPr>
          <w:t>67</w:t>
        </w:r>
        <w:r>
          <w:rPr>
            <w:noProof/>
            <w:webHidden/>
          </w:rPr>
          <w:fldChar w:fldCharType="end"/>
        </w:r>
      </w:hyperlink>
    </w:p>
    <w:p w:rsidR="00F14EAD" w:rsidRDefault="00F14EAD">
      <w:pPr>
        <w:pStyle w:val="TM1"/>
        <w:tabs>
          <w:tab w:val="left" w:pos="440"/>
          <w:tab w:val="right" w:leader="dot" w:pos="9060"/>
        </w:tabs>
        <w:rPr>
          <w:rFonts w:asciiTheme="minorHAnsi" w:eastAsiaTheme="minorEastAsia" w:hAnsiTheme="minorHAnsi" w:cstheme="minorBidi"/>
          <w:noProof/>
          <w:sz w:val="22"/>
          <w:lang w:eastAsia="fr-FR"/>
        </w:rPr>
      </w:pPr>
      <w:hyperlink w:anchor="_Toc536448615" w:history="1">
        <w:r w:rsidRPr="008A09AB">
          <w:rPr>
            <w:rStyle w:val="Lienhypertexte"/>
            <w:rFonts w:cstheme="minorHAnsi"/>
            <w:noProof/>
          </w:rPr>
          <w:t>7</w:t>
        </w:r>
        <w:r>
          <w:rPr>
            <w:rFonts w:asciiTheme="minorHAnsi" w:eastAsiaTheme="minorEastAsia" w:hAnsiTheme="minorHAnsi" w:cstheme="minorBidi"/>
            <w:noProof/>
            <w:sz w:val="22"/>
            <w:lang w:eastAsia="fr-FR"/>
          </w:rPr>
          <w:tab/>
        </w:r>
        <w:r w:rsidRPr="008A09AB">
          <w:rPr>
            <w:rStyle w:val="Lienhypertexte"/>
            <w:rFonts w:cstheme="minorHAnsi"/>
            <w:noProof/>
          </w:rPr>
          <w:t>ANNEXES</w:t>
        </w:r>
        <w:r>
          <w:rPr>
            <w:noProof/>
            <w:webHidden/>
          </w:rPr>
          <w:tab/>
        </w:r>
        <w:r>
          <w:rPr>
            <w:noProof/>
            <w:webHidden/>
          </w:rPr>
          <w:fldChar w:fldCharType="begin"/>
        </w:r>
        <w:r>
          <w:rPr>
            <w:noProof/>
            <w:webHidden/>
          </w:rPr>
          <w:instrText xml:space="preserve"> PAGEREF _Toc536448615 \h </w:instrText>
        </w:r>
        <w:r>
          <w:rPr>
            <w:noProof/>
            <w:webHidden/>
          </w:rPr>
        </w:r>
        <w:r>
          <w:rPr>
            <w:noProof/>
            <w:webHidden/>
          </w:rPr>
          <w:fldChar w:fldCharType="separate"/>
        </w:r>
        <w:r>
          <w:rPr>
            <w:noProof/>
            <w:webHidden/>
          </w:rPr>
          <w:t>68</w:t>
        </w:r>
        <w:r>
          <w:rPr>
            <w:noProof/>
            <w:webHidden/>
          </w:rPr>
          <w:fldChar w:fldCharType="end"/>
        </w:r>
      </w:hyperlink>
    </w:p>
    <w:p w:rsidR="00F14EAD" w:rsidRDefault="00F14EAD">
      <w:pPr>
        <w:pStyle w:val="TM2"/>
        <w:tabs>
          <w:tab w:val="left" w:pos="880"/>
          <w:tab w:val="right" w:leader="dot" w:pos="9060"/>
        </w:tabs>
        <w:rPr>
          <w:rFonts w:asciiTheme="minorHAnsi" w:eastAsiaTheme="minorEastAsia" w:hAnsiTheme="minorHAnsi" w:cstheme="minorBidi"/>
          <w:noProof/>
          <w:sz w:val="22"/>
          <w:lang w:eastAsia="fr-FR"/>
        </w:rPr>
      </w:pPr>
      <w:hyperlink w:anchor="_Toc536448616" w:history="1">
        <w:r w:rsidRPr="008A09AB">
          <w:rPr>
            <w:rStyle w:val="Lienhypertexte"/>
            <w:noProof/>
          </w:rPr>
          <w:t>7.1</w:t>
        </w:r>
        <w:r>
          <w:rPr>
            <w:rFonts w:asciiTheme="minorHAnsi" w:eastAsiaTheme="minorEastAsia" w:hAnsiTheme="minorHAnsi" w:cstheme="minorBidi"/>
            <w:noProof/>
            <w:sz w:val="22"/>
            <w:lang w:eastAsia="fr-FR"/>
          </w:rPr>
          <w:tab/>
        </w:r>
        <w:r w:rsidRPr="008A09AB">
          <w:rPr>
            <w:rStyle w:val="Lienhypertexte"/>
            <w:noProof/>
          </w:rPr>
          <w:t>Annexe 1 : Guide entretien PTF</w:t>
        </w:r>
        <w:r>
          <w:rPr>
            <w:noProof/>
            <w:webHidden/>
          </w:rPr>
          <w:tab/>
        </w:r>
        <w:r>
          <w:rPr>
            <w:noProof/>
            <w:webHidden/>
          </w:rPr>
          <w:fldChar w:fldCharType="begin"/>
        </w:r>
        <w:r>
          <w:rPr>
            <w:noProof/>
            <w:webHidden/>
          </w:rPr>
          <w:instrText xml:space="preserve"> PAGEREF _Toc536448616 \h </w:instrText>
        </w:r>
        <w:r>
          <w:rPr>
            <w:noProof/>
            <w:webHidden/>
          </w:rPr>
        </w:r>
        <w:r>
          <w:rPr>
            <w:noProof/>
            <w:webHidden/>
          </w:rPr>
          <w:fldChar w:fldCharType="separate"/>
        </w:r>
        <w:r>
          <w:rPr>
            <w:noProof/>
            <w:webHidden/>
          </w:rPr>
          <w:t>69</w:t>
        </w:r>
        <w:r>
          <w:rPr>
            <w:noProof/>
            <w:webHidden/>
          </w:rPr>
          <w:fldChar w:fldCharType="end"/>
        </w:r>
      </w:hyperlink>
    </w:p>
    <w:p w:rsidR="00F14EAD" w:rsidRDefault="00F14EAD">
      <w:pPr>
        <w:pStyle w:val="TM2"/>
        <w:tabs>
          <w:tab w:val="left" w:pos="880"/>
          <w:tab w:val="right" w:leader="dot" w:pos="9060"/>
        </w:tabs>
        <w:rPr>
          <w:rFonts w:asciiTheme="minorHAnsi" w:eastAsiaTheme="minorEastAsia" w:hAnsiTheme="minorHAnsi" w:cstheme="minorBidi"/>
          <w:noProof/>
          <w:sz w:val="22"/>
          <w:lang w:eastAsia="fr-FR"/>
        </w:rPr>
      </w:pPr>
      <w:hyperlink w:anchor="_Toc536448617" w:history="1">
        <w:r w:rsidRPr="008A09AB">
          <w:rPr>
            <w:rStyle w:val="Lienhypertexte"/>
            <w:noProof/>
          </w:rPr>
          <w:t>7.2</w:t>
        </w:r>
        <w:r>
          <w:rPr>
            <w:rFonts w:asciiTheme="minorHAnsi" w:eastAsiaTheme="minorEastAsia" w:hAnsiTheme="minorHAnsi" w:cstheme="minorBidi"/>
            <w:noProof/>
            <w:sz w:val="22"/>
            <w:lang w:eastAsia="fr-FR"/>
          </w:rPr>
          <w:tab/>
        </w:r>
        <w:r w:rsidRPr="008A09AB">
          <w:rPr>
            <w:rStyle w:val="Lienhypertexte"/>
            <w:noProof/>
          </w:rPr>
          <w:t>Annexe 2 Guide d’entretien pour la DNACPN</w:t>
        </w:r>
        <w:r>
          <w:rPr>
            <w:noProof/>
            <w:webHidden/>
          </w:rPr>
          <w:tab/>
        </w:r>
        <w:r>
          <w:rPr>
            <w:noProof/>
            <w:webHidden/>
          </w:rPr>
          <w:fldChar w:fldCharType="begin"/>
        </w:r>
        <w:r>
          <w:rPr>
            <w:noProof/>
            <w:webHidden/>
          </w:rPr>
          <w:instrText xml:space="preserve"> PAGEREF _Toc536448617 \h </w:instrText>
        </w:r>
        <w:r>
          <w:rPr>
            <w:noProof/>
            <w:webHidden/>
          </w:rPr>
        </w:r>
        <w:r>
          <w:rPr>
            <w:noProof/>
            <w:webHidden/>
          </w:rPr>
          <w:fldChar w:fldCharType="separate"/>
        </w:r>
        <w:r>
          <w:rPr>
            <w:noProof/>
            <w:webHidden/>
          </w:rPr>
          <w:t>70</w:t>
        </w:r>
        <w:r>
          <w:rPr>
            <w:noProof/>
            <w:webHidden/>
          </w:rPr>
          <w:fldChar w:fldCharType="end"/>
        </w:r>
      </w:hyperlink>
    </w:p>
    <w:p w:rsidR="00F14EAD" w:rsidRDefault="00F14EAD">
      <w:pPr>
        <w:pStyle w:val="TM2"/>
        <w:tabs>
          <w:tab w:val="left" w:pos="880"/>
          <w:tab w:val="right" w:leader="dot" w:pos="9060"/>
        </w:tabs>
        <w:rPr>
          <w:rFonts w:asciiTheme="minorHAnsi" w:eastAsiaTheme="minorEastAsia" w:hAnsiTheme="minorHAnsi" w:cstheme="minorBidi"/>
          <w:noProof/>
          <w:sz w:val="22"/>
          <w:lang w:eastAsia="fr-FR"/>
        </w:rPr>
      </w:pPr>
      <w:hyperlink w:anchor="_Toc536448618" w:history="1">
        <w:r w:rsidRPr="008A09AB">
          <w:rPr>
            <w:rStyle w:val="Lienhypertexte"/>
            <w:noProof/>
          </w:rPr>
          <w:t>7.3</w:t>
        </w:r>
        <w:r>
          <w:rPr>
            <w:rFonts w:asciiTheme="minorHAnsi" w:eastAsiaTheme="minorEastAsia" w:hAnsiTheme="minorHAnsi" w:cstheme="minorBidi"/>
            <w:noProof/>
            <w:sz w:val="22"/>
            <w:lang w:eastAsia="fr-FR"/>
          </w:rPr>
          <w:tab/>
        </w:r>
        <w:r w:rsidRPr="008A09AB">
          <w:rPr>
            <w:rStyle w:val="Lienhypertexte"/>
            <w:noProof/>
          </w:rPr>
          <w:t>Annexe 3 : TDR des groupes thématiques</w:t>
        </w:r>
        <w:r>
          <w:rPr>
            <w:noProof/>
            <w:webHidden/>
          </w:rPr>
          <w:tab/>
        </w:r>
        <w:r>
          <w:rPr>
            <w:noProof/>
            <w:webHidden/>
          </w:rPr>
          <w:fldChar w:fldCharType="begin"/>
        </w:r>
        <w:r>
          <w:rPr>
            <w:noProof/>
            <w:webHidden/>
          </w:rPr>
          <w:instrText xml:space="preserve"> PAGEREF _Toc536448618 \h </w:instrText>
        </w:r>
        <w:r>
          <w:rPr>
            <w:noProof/>
            <w:webHidden/>
          </w:rPr>
        </w:r>
        <w:r>
          <w:rPr>
            <w:noProof/>
            <w:webHidden/>
          </w:rPr>
          <w:fldChar w:fldCharType="separate"/>
        </w:r>
        <w:r>
          <w:rPr>
            <w:noProof/>
            <w:webHidden/>
          </w:rPr>
          <w:t>71</w:t>
        </w:r>
        <w:r>
          <w:rPr>
            <w:noProof/>
            <w:webHidden/>
          </w:rPr>
          <w:fldChar w:fldCharType="end"/>
        </w:r>
      </w:hyperlink>
    </w:p>
    <w:p w:rsidR="00F14EAD" w:rsidRDefault="00F14EAD">
      <w:pPr>
        <w:pStyle w:val="TM2"/>
        <w:tabs>
          <w:tab w:val="left" w:pos="880"/>
          <w:tab w:val="right" w:leader="dot" w:pos="9060"/>
        </w:tabs>
        <w:rPr>
          <w:rFonts w:asciiTheme="minorHAnsi" w:eastAsiaTheme="minorEastAsia" w:hAnsiTheme="minorHAnsi" w:cstheme="minorBidi"/>
          <w:noProof/>
          <w:sz w:val="22"/>
          <w:lang w:eastAsia="fr-FR"/>
        </w:rPr>
      </w:pPr>
      <w:hyperlink w:anchor="_Toc536448619" w:history="1">
        <w:r w:rsidRPr="008A09AB">
          <w:rPr>
            <w:rStyle w:val="Lienhypertexte"/>
            <w:noProof/>
          </w:rPr>
          <w:t>7.4</w:t>
        </w:r>
        <w:r>
          <w:rPr>
            <w:rFonts w:asciiTheme="minorHAnsi" w:eastAsiaTheme="minorEastAsia" w:hAnsiTheme="minorHAnsi" w:cstheme="minorBidi"/>
            <w:noProof/>
            <w:sz w:val="22"/>
            <w:lang w:eastAsia="fr-FR"/>
          </w:rPr>
          <w:tab/>
        </w:r>
        <w:r w:rsidRPr="008A09AB">
          <w:rPr>
            <w:rStyle w:val="Lienhypertexte"/>
            <w:noProof/>
          </w:rPr>
          <w:t>Annexe 4 : Liste des Documents Consultés</w:t>
        </w:r>
        <w:r>
          <w:rPr>
            <w:noProof/>
            <w:webHidden/>
          </w:rPr>
          <w:tab/>
        </w:r>
        <w:r>
          <w:rPr>
            <w:noProof/>
            <w:webHidden/>
          </w:rPr>
          <w:fldChar w:fldCharType="begin"/>
        </w:r>
        <w:r>
          <w:rPr>
            <w:noProof/>
            <w:webHidden/>
          </w:rPr>
          <w:instrText xml:space="preserve"> PAGEREF _Toc536448619 \h </w:instrText>
        </w:r>
        <w:r>
          <w:rPr>
            <w:noProof/>
            <w:webHidden/>
          </w:rPr>
        </w:r>
        <w:r>
          <w:rPr>
            <w:noProof/>
            <w:webHidden/>
          </w:rPr>
          <w:fldChar w:fldCharType="separate"/>
        </w:r>
        <w:r>
          <w:rPr>
            <w:noProof/>
            <w:webHidden/>
          </w:rPr>
          <w:t>72</w:t>
        </w:r>
        <w:r>
          <w:rPr>
            <w:noProof/>
            <w:webHidden/>
          </w:rPr>
          <w:fldChar w:fldCharType="end"/>
        </w:r>
      </w:hyperlink>
    </w:p>
    <w:p w:rsidR="00F14EAD" w:rsidRDefault="00F14EAD">
      <w:pPr>
        <w:pStyle w:val="TM2"/>
        <w:tabs>
          <w:tab w:val="left" w:pos="880"/>
          <w:tab w:val="right" w:leader="dot" w:pos="9060"/>
        </w:tabs>
        <w:rPr>
          <w:rFonts w:asciiTheme="minorHAnsi" w:eastAsiaTheme="minorEastAsia" w:hAnsiTheme="minorHAnsi" w:cstheme="minorBidi"/>
          <w:noProof/>
          <w:sz w:val="22"/>
          <w:lang w:eastAsia="fr-FR"/>
        </w:rPr>
      </w:pPr>
      <w:hyperlink w:anchor="_Toc536448620" w:history="1">
        <w:r w:rsidRPr="008A09AB">
          <w:rPr>
            <w:rStyle w:val="Lienhypertexte"/>
            <w:noProof/>
          </w:rPr>
          <w:t>7.5</w:t>
        </w:r>
        <w:r>
          <w:rPr>
            <w:rFonts w:asciiTheme="minorHAnsi" w:eastAsiaTheme="minorEastAsia" w:hAnsiTheme="minorHAnsi" w:cstheme="minorBidi"/>
            <w:noProof/>
            <w:sz w:val="22"/>
            <w:lang w:eastAsia="fr-FR"/>
          </w:rPr>
          <w:tab/>
        </w:r>
        <w:r w:rsidRPr="008A09AB">
          <w:rPr>
            <w:rStyle w:val="Lienhypertexte"/>
            <w:noProof/>
          </w:rPr>
          <w:t>Annexe 5 : Liste des personnes rencontrées</w:t>
        </w:r>
        <w:r>
          <w:rPr>
            <w:noProof/>
            <w:webHidden/>
          </w:rPr>
          <w:tab/>
        </w:r>
        <w:r>
          <w:rPr>
            <w:noProof/>
            <w:webHidden/>
          </w:rPr>
          <w:fldChar w:fldCharType="begin"/>
        </w:r>
        <w:r>
          <w:rPr>
            <w:noProof/>
            <w:webHidden/>
          </w:rPr>
          <w:instrText xml:space="preserve"> PAGEREF _Toc536448620 \h </w:instrText>
        </w:r>
        <w:r>
          <w:rPr>
            <w:noProof/>
            <w:webHidden/>
          </w:rPr>
        </w:r>
        <w:r>
          <w:rPr>
            <w:noProof/>
            <w:webHidden/>
          </w:rPr>
          <w:fldChar w:fldCharType="separate"/>
        </w:r>
        <w:r>
          <w:rPr>
            <w:noProof/>
            <w:webHidden/>
          </w:rPr>
          <w:t>73</w:t>
        </w:r>
        <w:r>
          <w:rPr>
            <w:noProof/>
            <w:webHidden/>
          </w:rPr>
          <w:fldChar w:fldCharType="end"/>
        </w:r>
      </w:hyperlink>
    </w:p>
    <w:p w:rsidR="00151092" w:rsidRPr="00B8772C" w:rsidRDefault="000F60D0" w:rsidP="00B8772C">
      <w:pPr>
        <w:spacing w:line="360" w:lineRule="auto"/>
        <w:ind w:left="113" w:right="113"/>
        <w:jc w:val="both"/>
        <w:rPr>
          <w:rFonts w:asciiTheme="minorHAnsi" w:hAnsiTheme="minorHAnsi" w:cstheme="minorHAnsi"/>
          <w:sz w:val="24"/>
          <w:szCs w:val="24"/>
        </w:rPr>
      </w:pPr>
      <w:r w:rsidRPr="00B8772C">
        <w:rPr>
          <w:rFonts w:asciiTheme="minorHAnsi" w:hAnsiTheme="minorHAnsi" w:cstheme="minorHAnsi"/>
          <w:b/>
          <w:sz w:val="24"/>
          <w:szCs w:val="24"/>
        </w:rPr>
        <w:fldChar w:fldCharType="end"/>
      </w:r>
    </w:p>
    <w:p w:rsidR="00151092" w:rsidRPr="001754BB" w:rsidRDefault="00151092" w:rsidP="00B8772C">
      <w:pPr>
        <w:pStyle w:val="BodyText"/>
        <w:spacing w:line="360" w:lineRule="auto"/>
        <w:rPr>
          <w:rFonts w:asciiTheme="minorHAnsi" w:hAnsiTheme="minorHAnsi" w:cstheme="minorHAnsi"/>
          <w:sz w:val="24"/>
          <w:szCs w:val="24"/>
        </w:rPr>
      </w:pPr>
    </w:p>
    <w:p w:rsidR="00541DB7" w:rsidRPr="001754BB" w:rsidRDefault="00541DB7" w:rsidP="00A929CE">
      <w:pPr>
        <w:spacing w:after="160" w:line="360" w:lineRule="auto"/>
        <w:rPr>
          <w:rFonts w:asciiTheme="minorHAnsi" w:hAnsiTheme="minorHAnsi" w:cstheme="minorHAnsi"/>
          <w:b/>
          <w:color w:val="1481AB" w:themeColor="accent1" w:themeShade="BF"/>
          <w:sz w:val="24"/>
          <w:szCs w:val="24"/>
        </w:rPr>
      </w:pPr>
      <w:r w:rsidRPr="001754BB">
        <w:rPr>
          <w:rFonts w:asciiTheme="minorHAnsi" w:hAnsiTheme="minorHAnsi" w:cstheme="minorHAnsi"/>
          <w:sz w:val="24"/>
          <w:szCs w:val="24"/>
        </w:rPr>
        <w:br w:type="page"/>
      </w:r>
    </w:p>
    <w:p w:rsidR="00151092" w:rsidRPr="00BC7FF5" w:rsidRDefault="00151092" w:rsidP="00B8772C">
      <w:pPr>
        <w:pStyle w:val="Tblmat"/>
        <w:spacing w:line="360" w:lineRule="auto"/>
        <w:rPr>
          <w:rFonts w:asciiTheme="minorHAnsi" w:hAnsiTheme="minorHAnsi" w:cstheme="minorHAnsi"/>
          <w:sz w:val="24"/>
          <w:szCs w:val="24"/>
        </w:rPr>
      </w:pPr>
      <w:r w:rsidRPr="00BC7FF5">
        <w:rPr>
          <w:rFonts w:asciiTheme="minorHAnsi" w:hAnsiTheme="minorHAnsi" w:cstheme="minorHAnsi"/>
          <w:sz w:val="24"/>
          <w:szCs w:val="24"/>
        </w:rPr>
        <w:t>Liste des Abréviations</w:t>
      </w:r>
    </w:p>
    <w:tbl>
      <w:tblPr>
        <w:tblStyle w:val="GridTable5Dark-Accent21"/>
        <w:tblW w:w="4925" w:type="pct"/>
        <w:shd w:val="clear" w:color="auto" w:fill="F2F2F2" w:themeFill="background1" w:themeFillShade="F2"/>
        <w:tblLook w:val="0480" w:firstRow="0" w:lastRow="0" w:firstColumn="1" w:lastColumn="0" w:noHBand="0" w:noVBand="1"/>
      </w:tblPr>
      <w:tblGrid>
        <w:gridCol w:w="2609"/>
        <w:gridCol w:w="6538"/>
      </w:tblGrid>
      <w:tr w:rsidR="00D54C69" w:rsidRPr="00A929CE" w:rsidTr="0088575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26" w:type="pct"/>
            <w:shd w:val="clear" w:color="auto" w:fill="F2F2F2" w:themeFill="background1" w:themeFillShade="F2"/>
          </w:tcPr>
          <w:p w:rsidR="00D54C69" w:rsidRPr="00112EE9" w:rsidRDefault="00D54C69" w:rsidP="0088575D">
            <w:pPr>
              <w:pStyle w:val="Tbltxt"/>
              <w:shd w:val="clear" w:color="auto" w:fill="DFE3E5" w:themeFill="background2"/>
              <w:spacing w:line="360" w:lineRule="auto"/>
              <w:jc w:val="both"/>
              <w:rPr>
                <w:rFonts w:asciiTheme="minorHAnsi" w:hAnsiTheme="minorHAnsi" w:cstheme="minorHAnsi"/>
                <w:color w:val="auto"/>
                <w:sz w:val="24"/>
                <w:szCs w:val="24"/>
                <w:lang w:eastAsia="en-US"/>
              </w:rPr>
            </w:pPr>
            <w:r w:rsidRPr="00112EE9">
              <w:rPr>
                <w:rFonts w:asciiTheme="minorHAnsi" w:hAnsiTheme="minorHAnsi" w:cstheme="minorHAnsi"/>
                <w:color w:val="auto"/>
                <w:sz w:val="24"/>
                <w:szCs w:val="24"/>
                <w:lang w:eastAsia="en-US"/>
              </w:rPr>
              <w:t>ABFN</w:t>
            </w:r>
          </w:p>
        </w:tc>
        <w:tc>
          <w:tcPr>
            <w:tcW w:w="3574" w:type="pct"/>
            <w:shd w:val="clear" w:color="auto" w:fill="F2F2F2" w:themeFill="background1" w:themeFillShade="F2"/>
          </w:tcPr>
          <w:p w:rsidR="00D54C69" w:rsidRPr="00A929CE" w:rsidRDefault="00D54C69" w:rsidP="0088575D">
            <w:pPr>
              <w:pStyle w:val="Tbltxt"/>
              <w:shd w:val="clear" w:color="auto" w:fill="DFE3E5" w:themeFill="background2"/>
              <w:spacing w:line="360" w:lineRule="auto"/>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4"/>
                <w:szCs w:val="24"/>
                <w:lang w:eastAsia="en-US"/>
              </w:rPr>
            </w:pPr>
            <w:r w:rsidRPr="00A929CE">
              <w:rPr>
                <w:rFonts w:asciiTheme="minorHAnsi" w:hAnsiTheme="minorHAnsi" w:cstheme="minorHAnsi"/>
                <w:sz w:val="24"/>
                <w:szCs w:val="24"/>
                <w:lang w:eastAsia="en-US"/>
              </w:rPr>
              <w:t>Autorité du Bassin du Fleuve Niger</w:t>
            </w:r>
          </w:p>
        </w:tc>
      </w:tr>
      <w:tr w:rsidR="00D54C69" w:rsidRPr="00A929CE" w:rsidTr="0088575D">
        <w:tc>
          <w:tcPr>
            <w:cnfStyle w:val="001000000000" w:firstRow="0" w:lastRow="0" w:firstColumn="1" w:lastColumn="0" w:oddVBand="0" w:evenVBand="0" w:oddHBand="0" w:evenHBand="0" w:firstRowFirstColumn="0" w:firstRowLastColumn="0" w:lastRowFirstColumn="0" w:lastRowLastColumn="0"/>
            <w:tcW w:w="1426" w:type="pct"/>
            <w:shd w:val="clear" w:color="auto" w:fill="F2F2F2" w:themeFill="background1" w:themeFillShade="F2"/>
          </w:tcPr>
          <w:p w:rsidR="00D54C69" w:rsidRPr="00B8772C" w:rsidRDefault="00D54C69" w:rsidP="0088575D">
            <w:pPr>
              <w:pStyle w:val="Tbltxt"/>
              <w:shd w:val="clear" w:color="auto" w:fill="DFE3E5" w:themeFill="background2"/>
              <w:spacing w:line="360" w:lineRule="auto"/>
              <w:jc w:val="both"/>
              <w:rPr>
                <w:rFonts w:asciiTheme="minorHAnsi" w:hAnsiTheme="minorHAnsi" w:cstheme="minorHAnsi"/>
                <w:color w:val="auto"/>
                <w:sz w:val="24"/>
                <w:szCs w:val="24"/>
              </w:rPr>
            </w:pPr>
            <w:r w:rsidRPr="00B8772C">
              <w:rPr>
                <w:rFonts w:asciiTheme="minorHAnsi" w:hAnsiTheme="minorHAnsi" w:cstheme="minorHAnsi"/>
                <w:color w:val="auto"/>
                <w:sz w:val="24"/>
                <w:szCs w:val="24"/>
                <w:lang w:eastAsia="en-US"/>
              </w:rPr>
              <w:t>AEP</w:t>
            </w:r>
          </w:p>
        </w:tc>
        <w:tc>
          <w:tcPr>
            <w:tcW w:w="3574" w:type="pct"/>
            <w:shd w:val="clear" w:color="auto" w:fill="F2F2F2" w:themeFill="background1" w:themeFillShade="F2"/>
          </w:tcPr>
          <w:p w:rsidR="00D54C69" w:rsidRPr="001754BB" w:rsidRDefault="00D54C69" w:rsidP="0088575D">
            <w:pPr>
              <w:pStyle w:val="Tbltxt"/>
              <w:shd w:val="clear" w:color="auto" w:fill="DFE3E5" w:themeFill="background2"/>
              <w:spacing w:line="360" w:lineRule="auto"/>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4"/>
                <w:szCs w:val="24"/>
                <w:lang w:eastAsia="en-US"/>
              </w:rPr>
            </w:pPr>
            <w:r w:rsidRPr="001754BB">
              <w:rPr>
                <w:rFonts w:asciiTheme="minorHAnsi" w:hAnsiTheme="minorHAnsi" w:cstheme="minorHAnsi"/>
                <w:sz w:val="24"/>
                <w:szCs w:val="24"/>
                <w:lang w:eastAsia="en-US"/>
              </w:rPr>
              <w:t>Approvisionnement en Eau Potable</w:t>
            </w:r>
            <w:r w:rsidR="00CE2994">
              <w:rPr>
                <w:rFonts w:asciiTheme="minorHAnsi" w:hAnsiTheme="minorHAnsi" w:cstheme="minorHAnsi"/>
                <w:sz w:val="24"/>
                <w:szCs w:val="24"/>
                <w:lang w:eastAsia="en-US"/>
              </w:rPr>
              <w:t xml:space="preserve"> </w:t>
            </w:r>
            <w:r w:rsidRPr="001754BB">
              <w:rPr>
                <w:rFonts w:asciiTheme="minorHAnsi" w:hAnsiTheme="minorHAnsi" w:cstheme="minorHAnsi"/>
                <w:sz w:val="24"/>
                <w:szCs w:val="24"/>
                <w:lang w:eastAsia="en-US"/>
              </w:rPr>
              <w:t>ou</w:t>
            </w:r>
            <w:r w:rsidR="00CE2994">
              <w:rPr>
                <w:rFonts w:asciiTheme="minorHAnsi" w:hAnsiTheme="minorHAnsi" w:cstheme="minorHAnsi"/>
                <w:sz w:val="24"/>
                <w:szCs w:val="24"/>
                <w:lang w:eastAsia="en-US"/>
              </w:rPr>
              <w:t xml:space="preserve"> </w:t>
            </w:r>
            <w:r w:rsidRPr="001754BB">
              <w:rPr>
                <w:rFonts w:asciiTheme="minorHAnsi" w:hAnsiTheme="minorHAnsi" w:cstheme="minorHAnsi"/>
                <w:sz w:val="24"/>
                <w:szCs w:val="24"/>
                <w:lang w:eastAsia="en-US"/>
              </w:rPr>
              <w:t>Adduction</w:t>
            </w:r>
            <w:r w:rsidR="00CE2994">
              <w:rPr>
                <w:rFonts w:asciiTheme="minorHAnsi" w:hAnsiTheme="minorHAnsi" w:cstheme="minorHAnsi"/>
                <w:sz w:val="24"/>
                <w:szCs w:val="24"/>
                <w:lang w:eastAsia="en-US"/>
              </w:rPr>
              <w:t xml:space="preserve"> </w:t>
            </w:r>
            <w:r w:rsidRPr="001754BB">
              <w:rPr>
                <w:rFonts w:asciiTheme="minorHAnsi" w:hAnsiTheme="minorHAnsi" w:cstheme="minorHAnsi"/>
                <w:sz w:val="24"/>
                <w:szCs w:val="24"/>
                <w:lang w:eastAsia="en-US"/>
              </w:rPr>
              <w:t>d’Eau</w:t>
            </w:r>
            <w:r w:rsidR="00CE2994">
              <w:rPr>
                <w:rFonts w:asciiTheme="minorHAnsi" w:hAnsiTheme="minorHAnsi" w:cstheme="minorHAnsi"/>
                <w:sz w:val="24"/>
                <w:szCs w:val="24"/>
                <w:lang w:eastAsia="en-US"/>
              </w:rPr>
              <w:t xml:space="preserve"> </w:t>
            </w:r>
            <w:r w:rsidRPr="001754BB">
              <w:rPr>
                <w:rFonts w:asciiTheme="minorHAnsi" w:hAnsiTheme="minorHAnsi" w:cstheme="minorHAnsi"/>
                <w:sz w:val="24"/>
                <w:szCs w:val="24"/>
                <w:lang w:eastAsia="en-US"/>
              </w:rPr>
              <w:t>Potable</w:t>
            </w:r>
          </w:p>
        </w:tc>
      </w:tr>
      <w:tr w:rsidR="00D54C69" w:rsidRPr="00A929CE" w:rsidTr="0088575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26" w:type="pct"/>
            <w:shd w:val="clear" w:color="auto" w:fill="F2F2F2" w:themeFill="background1" w:themeFillShade="F2"/>
          </w:tcPr>
          <w:p w:rsidR="00D54C69" w:rsidRPr="00B8772C" w:rsidRDefault="00D54C69" w:rsidP="0088575D">
            <w:pPr>
              <w:pStyle w:val="Tbltxt"/>
              <w:shd w:val="clear" w:color="auto" w:fill="DFE3E5" w:themeFill="background2"/>
              <w:spacing w:line="360" w:lineRule="auto"/>
              <w:jc w:val="both"/>
              <w:rPr>
                <w:rFonts w:asciiTheme="minorHAnsi" w:hAnsiTheme="minorHAnsi" w:cstheme="minorHAnsi"/>
                <w:color w:val="auto"/>
                <w:sz w:val="24"/>
                <w:szCs w:val="24"/>
              </w:rPr>
            </w:pPr>
            <w:r w:rsidRPr="00B8772C">
              <w:rPr>
                <w:rFonts w:asciiTheme="minorHAnsi" w:hAnsiTheme="minorHAnsi" w:cstheme="minorHAnsi"/>
                <w:color w:val="auto"/>
                <w:sz w:val="24"/>
                <w:szCs w:val="24"/>
                <w:lang w:eastAsia="en-US"/>
              </w:rPr>
              <w:t>AEPA</w:t>
            </w:r>
          </w:p>
        </w:tc>
        <w:tc>
          <w:tcPr>
            <w:tcW w:w="3574" w:type="pct"/>
            <w:shd w:val="clear" w:color="auto" w:fill="F2F2F2" w:themeFill="background1" w:themeFillShade="F2"/>
          </w:tcPr>
          <w:p w:rsidR="00D54C69" w:rsidRPr="001754BB" w:rsidRDefault="00D54C69" w:rsidP="0088575D">
            <w:pPr>
              <w:pStyle w:val="Tbltxt"/>
              <w:shd w:val="clear" w:color="auto" w:fill="DFE3E5" w:themeFill="background2"/>
              <w:spacing w:line="360" w:lineRule="auto"/>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4"/>
                <w:szCs w:val="24"/>
                <w:lang w:eastAsia="en-US"/>
              </w:rPr>
            </w:pPr>
            <w:r w:rsidRPr="001754BB">
              <w:rPr>
                <w:rFonts w:asciiTheme="minorHAnsi" w:hAnsiTheme="minorHAnsi" w:cstheme="minorHAnsi"/>
                <w:sz w:val="24"/>
                <w:szCs w:val="24"/>
                <w:lang w:eastAsia="en-US"/>
              </w:rPr>
              <w:t>Approvisionnement en Eau Potable et Assainissement</w:t>
            </w:r>
          </w:p>
        </w:tc>
      </w:tr>
      <w:tr w:rsidR="00D54C69" w:rsidRPr="00A929CE" w:rsidTr="0088575D">
        <w:tc>
          <w:tcPr>
            <w:cnfStyle w:val="001000000000" w:firstRow="0" w:lastRow="0" w:firstColumn="1" w:lastColumn="0" w:oddVBand="0" w:evenVBand="0" w:oddHBand="0" w:evenHBand="0" w:firstRowFirstColumn="0" w:firstRowLastColumn="0" w:lastRowFirstColumn="0" w:lastRowLastColumn="0"/>
            <w:tcW w:w="1426" w:type="pct"/>
            <w:shd w:val="clear" w:color="auto" w:fill="F2F2F2" w:themeFill="background1" w:themeFillShade="F2"/>
          </w:tcPr>
          <w:p w:rsidR="00D54C69" w:rsidRPr="00B8772C" w:rsidRDefault="00D54C69" w:rsidP="0088575D">
            <w:pPr>
              <w:pStyle w:val="Tbltxt"/>
              <w:shd w:val="clear" w:color="auto" w:fill="DFE3E5" w:themeFill="background2"/>
              <w:spacing w:line="360" w:lineRule="auto"/>
              <w:jc w:val="both"/>
              <w:rPr>
                <w:rFonts w:asciiTheme="minorHAnsi" w:hAnsiTheme="minorHAnsi" w:cstheme="minorHAnsi"/>
                <w:color w:val="auto"/>
                <w:sz w:val="24"/>
                <w:szCs w:val="24"/>
              </w:rPr>
            </w:pPr>
            <w:r w:rsidRPr="00B8772C">
              <w:rPr>
                <w:rFonts w:asciiTheme="minorHAnsi" w:hAnsiTheme="minorHAnsi" w:cstheme="minorHAnsi"/>
                <w:color w:val="auto"/>
                <w:sz w:val="24"/>
                <w:szCs w:val="24"/>
              </w:rPr>
              <w:t>AES</w:t>
            </w:r>
          </w:p>
        </w:tc>
        <w:tc>
          <w:tcPr>
            <w:tcW w:w="3574" w:type="pct"/>
            <w:shd w:val="clear" w:color="auto" w:fill="F2F2F2" w:themeFill="background1" w:themeFillShade="F2"/>
          </w:tcPr>
          <w:p w:rsidR="00D54C69" w:rsidRPr="001754BB" w:rsidRDefault="00D54C69" w:rsidP="0088575D">
            <w:pPr>
              <w:pStyle w:val="Tbltxt"/>
              <w:shd w:val="clear" w:color="auto" w:fill="DFE3E5" w:themeFill="background2"/>
              <w:spacing w:line="360" w:lineRule="auto"/>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4"/>
                <w:szCs w:val="24"/>
              </w:rPr>
            </w:pPr>
            <w:r w:rsidRPr="001754BB">
              <w:rPr>
                <w:rFonts w:asciiTheme="minorHAnsi" w:hAnsiTheme="minorHAnsi" w:cstheme="minorHAnsi"/>
                <w:sz w:val="24"/>
                <w:szCs w:val="24"/>
              </w:rPr>
              <w:t>Adduction</w:t>
            </w:r>
            <w:r w:rsidR="00CE2994">
              <w:rPr>
                <w:rFonts w:asciiTheme="minorHAnsi" w:hAnsiTheme="minorHAnsi" w:cstheme="minorHAnsi"/>
                <w:sz w:val="24"/>
                <w:szCs w:val="24"/>
              </w:rPr>
              <w:t xml:space="preserve"> </w:t>
            </w:r>
            <w:r w:rsidRPr="001754BB">
              <w:rPr>
                <w:rFonts w:asciiTheme="minorHAnsi" w:hAnsiTheme="minorHAnsi" w:cstheme="minorHAnsi"/>
                <w:sz w:val="24"/>
                <w:szCs w:val="24"/>
              </w:rPr>
              <w:t>d'eau</w:t>
            </w:r>
            <w:r w:rsidR="00CE2994">
              <w:rPr>
                <w:rFonts w:asciiTheme="minorHAnsi" w:hAnsiTheme="minorHAnsi" w:cstheme="minorHAnsi"/>
                <w:sz w:val="24"/>
                <w:szCs w:val="24"/>
              </w:rPr>
              <w:t xml:space="preserve"> </w:t>
            </w:r>
            <w:r w:rsidRPr="001754BB">
              <w:rPr>
                <w:rFonts w:asciiTheme="minorHAnsi" w:hAnsiTheme="minorHAnsi" w:cstheme="minorHAnsi"/>
                <w:sz w:val="24"/>
                <w:szCs w:val="24"/>
              </w:rPr>
              <w:t>sommaire</w:t>
            </w:r>
          </w:p>
        </w:tc>
      </w:tr>
      <w:tr w:rsidR="00D54C69" w:rsidRPr="00A929CE" w:rsidTr="0088575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26" w:type="pct"/>
            <w:shd w:val="clear" w:color="auto" w:fill="F2F2F2" w:themeFill="background1" w:themeFillShade="F2"/>
          </w:tcPr>
          <w:p w:rsidR="00D54C69" w:rsidRPr="00B8772C" w:rsidRDefault="00D54C69" w:rsidP="0088575D">
            <w:pPr>
              <w:pStyle w:val="Tbltxt"/>
              <w:shd w:val="clear" w:color="auto" w:fill="DFE3E5" w:themeFill="background2"/>
              <w:spacing w:line="360" w:lineRule="auto"/>
              <w:jc w:val="both"/>
              <w:rPr>
                <w:rFonts w:asciiTheme="minorHAnsi" w:hAnsiTheme="minorHAnsi" w:cstheme="minorHAnsi"/>
                <w:color w:val="auto"/>
                <w:sz w:val="24"/>
                <w:szCs w:val="24"/>
              </w:rPr>
            </w:pPr>
            <w:r w:rsidRPr="00B8772C">
              <w:rPr>
                <w:rFonts w:asciiTheme="minorHAnsi" w:hAnsiTheme="minorHAnsi" w:cstheme="minorHAnsi"/>
                <w:color w:val="auto"/>
                <w:sz w:val="24"/>
                <w:szCs w:val="24"/>
              </w:rPr>
              <w:t>AFD</w:t>
            </w:r>
          </w:p>
        </w:tc>
        <w:tc>
          <w:tcPr>
            <w:tcW w:w="3574" w:type="pct"/>
            <w:shd w:val="clear" w:color="auto" w:fill="F2F2F2" w:themeFill="background1" w:themeFillShade="F2"/>
          </w:tcPr>
          <w:p w:rsidR="00D54C69" w:rsidRPr="001754BB" w:rsidRDefault="00D54C69" w:rsidP="0088575D">
            <w:pPr>
              <w:pStyle w:val="Tbltxt"/>
              <w:shd w:val="clear" w:color="auto" w:fill="DFE3E5" w:themeFill="background2"/>
              <w:spacing w:line="360" w:lineRule="auto"/>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4"/>
                <w:szCs w:val="24"/>
              </w:rPr>
            </w:pPr>
            <w:r w:rsidRPr="001754BB">
              <w:rPr>
                <w:rFonts w:asciiTheme="minorHAnsi" w:hAnsiTheme="minorHAnsi" w:cstheme="minorHAnsi"/>
                <w:sz w:val="24"/>
                <w:szCs w:val="24"/>
              </w:rPr>
              <w:t>Agence Française de Développement</w:t>
            </w:r>
          </w:p>
        </w:tc>
      </w:tr>
      <w:tr w:rsidR="00D54C69" w:rsidRPr="00A929CE" w:rsidTr="0088575D">
        <w:tc>
          <w:tcPr>
            <w:cnfStyle w:val="001000000000" w:firstRow="0" w:lastRow="0" w:firstColumn="1" w:lastColumn="0" w:oddVBand="0" w:evenVBand="0" w:oddHBand="0" w:evenHBand="0" w:firstRowFirstColumn="0" w:firstRowLastColumn="0" w:lastRowFirstColumn="0" w:lastRowLastColumn="0"/>
            <w:tcW w:w="1426" w:type="pct"/>
            <w:shd w:val="clear" w:color="auto" w:fill="F2F2F2" w:themeFill="background1" w:themeFillShade="F2"/>
          </w:tcPr>
          <w:p w:rsidR="00D54C69" w:rsidRPr="00B8772C" w:rsidRDefault="00D54C69" w:rsidP="0088575D">
            <w:pPr>
              <w:pStyle w:val="Tbltxt"/>
              <w:shd w:val="clear" w:color="auto" w:fill="DFE3E5" w:themeFill="background2"/>
              <w:spacing w:line="360" w:lineRule="auto"/>
              <w:jc w:val="both"/>
              <w:rPr>
                <w:rFonts w:asciiTheme="minorHAnsi" w:hAnsiTheme="minorHAnsi" w:cstheme="minorHAnsi"/>
                <w:color w:val="auto"/>
                <w:sz w:val="24"/>
                <w:szCs w:val="24"/>
              </w:rPr>
            </w:pPr>
            <w:r w:rsidRPr="00B8772C">
              <w:rPr>
                <w:rFonts w:asciiTheme="minorHAnsi" w:hAnsiTheme="minorHAnsi" w:cstheme="minorHAnsi"/>
                <w:color w:val="auto"/>
                <w:sz w:val="24"/>
                <w:szCs w:val="24"/>
              </w:rPr>
              <w:t>AFDH</w:t>
            </w:r>
          </w:p>
        </w:tc>
        <w:tc>
          <w:tcPr>
            <w:tcW w:w="3574" w:type="pct"/>
            <w:shd w:val="clear" w:color="auto" w:fill="F2F2F2" w:themeFill="background1" w:themeFillShade="F2"/>
          </w:tcPr>
          <w:p w:rsidR="00D54C69" w:rsidRPr="001754BB" w:rsidRDefault="00D54C69" w:rsidP="0088575D">
            <w:pPr>
              <w:pStyle w:val="Tbltxt"/>
              <w:shd w:val="clear" w:color="auto" w:fill="DFE3E5" w:themeFill="background2"/>
              <w:spacing w:line="360" w:lineRule="auto"/>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4"/>
                <w:szCs w:val="24"/>
              </w:rPr>
            </w:pPr>
            <w:r w:rsidRPr="001754BB">
              <w:rPr>
                <w:rFonts w:asciiTheme="minorHAnsi" w:hAnsiTheme="minorHAnsi" w:cstheme="minorHAnsi"/>
                <w:sz w:val="24"/>
                <w:szCs w:val="24"/>
              </w:rPr>
              <w:t>Approche</w:t>
            </w:r>
            <w:r w:rsidR="00CE2994">
              <w:rPr>
                <w:rFonts w:asciiTheme="minorHAnsi" w:hAnsiTheme="minorHAnsi" w:cstheme="minorHAnsi"/>
                <w:sz w:val="24"/>
                <w:szCs w:val="24"/>
              </w:rPr>
              <w:t xml:space="preserve"> </w:t>
            </w:r>
            <w:r w:rsidRPr="001754BB">
              <w:rPr>
                <w:rFonts w:asciiTheme="minorHAnsi" w:hAnsiTheme="minorHAnsi" w:cstheme="minorHAnsi"/>
                <w:sz w:val="24"/>
                <w:szCs w:val="24"/>
              </w:rPr>
              <w:t>Fondée</w:t>
            </w:r>
            <w:r w:rsidR="00CE2994">
              <w:rPr>
                <w:rFonts w:asciiTheme="minorHAnsi" w:hAnsiTheme="minorHAnsi" w:cstheme="minorHAnsi"/>
                <w:sz w:val="24"/>
                <w:szCs w:val="24"/>
              </w:rPr>
              <w:t xml:space="preserve"> </w:t>
            </w:r>
            <w:r w:rsidRPr="001754BB">
              <w:rPr>
                <w:rFonts w:asciiTheme="minorHAnsi" w:hAnsiTheme="minorHAnsi" w:cstheme="minorHAnsi"/>
                <w:sz w:val="24"/>
                <w:szCs w:val="24"/>
              </w:rPr>
              <w:t>sur les Droits</w:t>
            </w:r>
            <w:r w:rsidR="00CE2994">
              <w:rPr>
                <w:rFonts w:asciiTheme="minorHAnsi" w:hAnsiTheme="minorHAnsi" w:cstheme="minorHAnsi"/>
                <w:sz w:val="24"/>
                <w:szCs w:val="24"/>
              </w:rPr>
              <w:t xml:space="preserve"> </w:t>
            </w:r>
            <w:r w:rsidRPr="001754BB">
              <w:rPr>
                <w:rFonts w:asciiTheme="minorHAnsi" w:hAnsiTheme="minorHAnsi" w:cstheme="minorHAnsi"/>
                <w:sz w:val="24"/>
                <w:szCs w:val="24"/>
              </w:rPr>
              <w:t>Humains</w:t>
            </w:r>
          </w:p>
        </w:tc>
      </w:tr>
      <w:tr w:rsidR="00D54C69" w:rsidRPr="00A929CE" w:rsidTr="0088575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26" w:type="pct"/>
            <w:shd w:val="clear" w:color="auto" w:fill="F2F2F2" w:themeFill="background1" w:themeFillShade="F2"/>
          </w:tcPr>
          <w:p w:rsidR="00D54C69" w:rsidRPr="00B8772C" w:rsidRDefault="00D54C69" w:rsidP="0088575D">
            <w:pPr>
              <w:pStyle w:val="Tbltxt"/>
              <w:shd w:val="clear" w:color="auto" w:fill="DFE3E5" w:themeFill="background2"/>
              <w:spacing w:line="360" w:lineRule="auto"/>
              <w:jc w:val="both"/>
              <w:rPr>
                <w:rFonts w:asciiTheme="minorHAnsi" w:hAnsiTheme="minorHAnsi" w:cstheme="minorHAnsi"/>
                <w:color w:val="auto"/>
                <w:sz w:val="24"/>
                <w:szCs w:val="24"/>
              </w:rPr>
            </w:pPr>
            <w:r w:rsidRPr="00B8772C">
              <w:rPr>
                <w:rFonts w:asciiTheme="minorHAnsi" w:hAnsiTheme="minorHAnsi" w:cstheme="minorHAnsi"/>
                <w:color w:val="auto"/>
                <w:sz w:val="24"/>
                <w:szCs w:val="24"/>
              </w:rPr>
              <w:t>AMM</w:t>
            </w:r>
          </w:p>
        </w:tc>
        <w:tc>
          <w:tcPr>
            <w:tcW w:w="3574" w:type="pct"/>
            <w:shd w:val="clear" w:color="auto" w:fill="F2F2F2" w:themeFill="background1" w:themeFillShade="F2"/>
          </w:tcPr>
          <w:p w:rsidR="00D54C69" w:rsidRPr="001754BB" w:rsidRDefault="00D54C69" w:rsidP="0088575D">
            <w:pPr>
              <w:pStyle w:val="Tbltxt"/>
              <w:shd w:val="clear" w:color="auto" w:fill="DFE3E5" w:themeFill="background2"/>
              <w:spacing w:line="360" w:lineRule="auto"/>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4"/>
                <w:szCs w:val="24"/>
              </w:rPr>
            </w:pPr>
            <w:r w:rsidRPr="001754BB">
              <w:rPr>
                <w:rFonts w:asciiTheme="minorHAnsi" w:hAnsiTheme="minorHAnsi" w:cstheme="minorHAnsi"/>
                <w:sz w:val="24"/>
                <w:szCs w:val="24"/>
              </w:rPr>
              <w:t>Association des Municipalités du Mali</w:t>
            </w:r>
          </w:p>
        </w:tc>
      </w:tr>
      <w:tr w:rsidR="00D54C69" w:rsidRPr="00A929CE" w:rsidTr="0088575D">
        <w:tc>
          <w:tcPr>
            <w:cnfStyle w:val="001000000000" w:firstRow="0" w:lastRow="0" w:firstColumn="1" w:lastColumn="0" w:oddVBand="0" w:evenVBand="0" w:oddHBand="0" w:evenHBand="0" w:firstRowFirstColumn="0" w:firstRowLastColumn="0" w:lastRowFirstColumn="0" w:lastRowLastColumn="0"/>
            <w:tcW w:w="1426" w:type="pct"/>
            <w:shd w:val="clear" w:color="auto" w:fill="F2F2F2" w:themeFill="background1" w:themeFillShade="F2"/>
          </w:tcPr>
          <w:p w:rsidR="00D54C69" w:rsidRPr="00B8772C" w:rsidRDefault="00D54C69" w:rsidP="0088575D">
            <w:pPr>
              <w:pStyle w:val="Tbltxt"/>
              <w:shd w:val="clear" w:color="auto" w:fill="DFE3E5" w:themeFill="background2"/>
              <w:spacing w:line="360" w:lineRule="auto"/>
              <w:jc w:val="both"/>
              <w:rPr>
                <w:rFonts w:asciiTheme="minorHAnsi" w:hAnsiTheme="minorHAnsi" w:cstheme="minorHAnsi"/>
                <w:color w:val="auto"/>
                <w:sz w:val="24"/>
                <w:szCs w:val="24"/>
              </w:rPr>
            </w:pPr>
            <w:r w:rsidRPr="00B8772C">
              <w:rPr>
                <w:rFonts w:asciiTheme="minorHAnsi" w:hAnsiTheme="minorHAnsi" w:cstheme="minorHAnsi"/>
                <w:color w:val="auto"/>
                <w:sz w:val="24"/>
                <w:szCs w:val="24"/>
              </w:rPr>
              <w:t>ANGESEM</w:t>
            </w:r>
          </w:p>
        </w:tc>
        <w:tc>
          <w:tcPr>
            <w:tcW w:w="3574" w:type="pct"/>
            <w:shd w:val="clear" w:color="auto" w:fill="F2F2F2" w:themeFill="background1" w:themeFillShade="F2"/>
          </w:tcPr>
          <w:p w:rsidR="00D54C69" w:rsidRPr="001754BB" w:rsidRDefault="00D54C69" w:rsidP="0088575D">
            <w:pPr>
              <w:pStyle w:val="Tbltxt"/>
              <w:shd w:val="clear" w:color="auto" w:fill="DFE3E5" w:themeFill="background2"/>
              <w:spacing w:line="360" w:lineRule="auto"/>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4"/>
                <w:szCs w:val="24"/>
              </w:rPr>
            </w:pPr>
            <w:r w:rsidRPr="001754BB">
              <w:rPr>
                <w:rFonts w:asciiTheme="minorHAnsi" w:hAnsiTheme="minorHAnsi" w:cstheme="minorHAnsi"/>
                <w:sz w:val="24"/>
                <w:szCs w:val="24"/>
              </w:rPr>
              <w:t>Agence Nationale de Gestion des Stations</w:t>
            </w:r>
            <w:r w:rsidR="00CE2994">
              <w:rPr>
                <w:rFonts w:asciiTheme="minorHAnsi" w:hAnsiTheme="minorHAnsi" w:cstheme="minorHAnsi"/>
                <w:sz w:val="24"/>
                <w:szCs w:val="24"/>
              </w:rPr>
              <w:t xml:space="preserve"> </w:t>
            </w:r>
            <w:r w:rsidRPr="001754BB">
              <w:rPr>
                <w:rFonts w:asciiTheme="minorHAnsi" w:hAnsiTheme="minorHAnsi" w:cstheme="minorHAnsi"/>
                <w:sz w:val="24"/>
                <w:szCs w:val="24"/>
              </w:rPr>
              <w:t xml:space="preserve">d’Epuration du Mali </w:t>
            </w:r>
          </w:p>
        </w:tc>
      </w:tr>
      <w:tr w:rsidR="00D54C69" w:rsidRPr="00A929CE" w:rsidTr="0088575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26" w:type="pct"/>
            <w:shd w:val="clear" w:color="auto" w:fill="F2F2F2" w:themeFill="background1" w:themeFillShade="F2"/>
          </w:tcPr>
          <w:p w:rsidR="00D54C69" w:rsidRPr="00B8772C" w:rsidRDefault="00D54C69" w:rsidP="0088575D">
            <w:pPr>
              <w:pStyle w:val="Tbltxt"/>
              <w:shd w:val="clear" w:color="auto" w:fill="DFE3E5" w:themeFill="background2"/>
              <w:spacing w:line="360" w:lineRule="auto"/>
              <w:jc w:val="both"/>
              <w:rPr>
                <w:rFonts w:asciiTheme="minorHAnsi" w:hAnsiTheme="minorHAnsi" w:cstheme="minorHAnsi"/>
                <w:color w:val="auto"/>
                <w:sz w:val="24"/>
                <w:szCs w:val="24"/>
                <w:lang w:eastAsia="en-US"/>
              </w:rPr>
            </w:pPr>
            <w:r w:rsidRPr="00B8772C">
              <w:rPr>
                <w:rFonts w:asciiTheme="minorHAnsi" w:hAnsiTheme="minorHAnsi" w:cstheme="minorHAnsi"/>
                <w:color w:val="auto"/>
                <w:sz w:val="24"/>
                <w:szCs w:val="24"/>
                <w:lang w:eastAsia="en-US"/>
              </w:rPr>
              <w:t>ANICT</w:t>
            </w:r>
          </w:p>
        </w:tc>
        <w:tc>
          <w:tcPr>
            <w:tcW w:w="3574" w:type="pct"/>
            <w:shd w:val="clear" w:color="auto" w:fill="F2F2F2" w:themeFill="background1" w:themeFillShade="F2"/>
          </w:tcPr>
          <w:p w:rsidR="00D54C69" w:rsidRPr="001754BB" w:rsidRDefault="00D54C69" w:rsidP="0088575D">
            <w:pPr>
              <w:pStyle w:val="Tbltxt"/>
              <w:shd w:val="clear" w:color="auto" w:fill="DFE3E5" w:themeFill="background2"/>
              <w:spacing w:line="360" w:lineRule="auto"/>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4"/>
                <w:szCs w:val="24"/>
                <w:lang w:eastAsia="en-US"/>
              </w:rPr>
            </w:pPr>
            <w:r w:rsidRPr="001754BB">
              <w:rPr>
                <w:rFonts w:asciiTheme="minorHAnsi" w:hAnsiTheme="minorHAnsi" w:cstheme="minorHAnsi"/>
                <w:sz w:val="24"/>
                <w:szCs w:val="24"/>
                <w:lang w:eastAsia="en-US"/>
              </w:rPr>
              <w:t>Agence Nationale d’Investissement des Collectivités Territoriales</w:t>
            </w:r>
          </w:p>
        </w:tc>
      </w:tr>
      <w:tr w:rsidR="00D54C69" w:rsidRPr="00A929CE" w:rsidTr="0088575D">
        <w:tc>
          <w:tcPr>
            <w:cnfStyle w:val="001000000000" w:firstRow="0" w:lastRow="0" w:firstColumn="1" w:lastColumn="0" w:oddVBand="0" w:evenVBand="0" w:oddHBand="0" w:evenHBand="0" w:firstRowFirstColumn="0" w:firstRowLastColumn="0" w:lastRowFirstColumn="0" w:lastRowLastColumn="0"/>
            <w:tcW w:w="1426" w:type="pct"/>
            <w:shd w:val="clear" w:color="auto" w:fill="F2F2F2" w:themeFill="background1" w:themeFillShade="F2"/>
          </w:tcPr>
          <w:p w:rsidR="00D54C69" w:rsidRPr="00B8772C" w:rsidRDefault="00D54C69" w:rsidP="0088575D">
            <w:pPr>
              <w:pStyle w:val="Tbltxt"/>
              <w:shd w:val="clear" w:color="auto" w:fill="DFE3E5" w:themeFill="background2"/>
              <w:spacing w:line="360" w:lineRule="auto"/>
              <w:jc w:val="both"/>
              <w:rPr>
                <w:rFonts w:asciiTheme="minorHAnsi" w:hAnsiTheme="minorHAnsi" w:cstheme="minorHAnsi"/>
                <w:color w:val="auto"/>
                <w:sz w:val="24"/>
                <w:szCs w:val="24"/>
                <w:lang w:eastAsia="en-US"/>
              </w:rPr>
            </w:pPr>
            <w:r w:rsidRPr="00B8772C">
              <w:rPr>
                <w:rFonts w:asciiTheme="minorHAnsi" w:hAnsiTheme="minorHAnsi" w:cstheme="minorHAnsi"/>
                <w:color w:val="auto"/>
                <w:sz w:val="24"/>
                <w:szCs w:val="24"/>
                <w:lang w:eastAsia="en-US"/>
              </w:rPr>
              <w:t>AUE</w:t>
            </w:r>
          </w:p>
        </w:tc>
        <w:tc>
          <w:tcPr>
            <w:tcW w:w="3574" w:type="pct"/>
            <w:shd w:val="clear" w:color="auto" w:fill="F2F2F2" w:themeFill="background1" w:themeFillShade="F2"/>
          </w:tcPr>
          <w:p w:rsidR="00D54C69" w:rsidRPr="001754BB" w:rsidRDefault="00D54C69" w:rsidP="0088575D">
            <w:pPr>
              <w:pStyle w:val="Tbltxt"/>
              <w:shd w:val="clear" w:color="auto" w:fill="DFE3E5" w:themeFill="background2"/>
              <w:spacing w:line="360" w:lineRule="auto"/>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4"/>
                <w:szCs w:val="24"/>
                <w:lang w:eastAsia="en-US"/>
              </w:rPr>
            </w:pPr>
            <w:r w:rsidRPr="001754BB">
              <w:rPr>
                <w:rFonts w:asciiTheme="minorHAnsi" w:hAnsiTheme="minorHAnsi" w:cstheme="minorHAnsi"/>
                <w:sz w:val="24"/>
                <w:szCs w:val="24"/>
                <w:lang w:eastAsia="en-US"/>
              </w:rPr>
              <w:t>Association</w:t>
            </w:r>
            <w:r w:rsidR="00CE2994">
              <w:rPr>
                <w:rFonts w:asciiTheme="minorHAnsi" w:hAnsiTheme="minorHAnsi" w:cstheme="minorHAnsi"/>
                <w:sz w:val="24"/>
                <w:szCs w:val="24"/>
                <w:lang w:eastAsia="en-US"/>
              </w:rPr>
              <w:t xml:space="preserve"> </w:t>
            </w:r>
            <w:r w:rsidRPr="001754BB">
              <w:rPr>
                <w:rFonts w:asciiTheme="minorHAnsi" w:hAnsiTheme="minorHAnsi" w:cstheme="minorHAnsi"/>
                <w:sz w:val="24"/>
                <w:szCs w:val="24"/>
                <w:lang w:eastAsia="en-US"/>
              </w:rPr>
              <w:t>d’Usagers</w:t>
            </w:r>
            <w:r w:rsidR="00CE2994">
              <w:rPr>
                <w:rFonts w:asciiTheme="minorHAnsi" w:hAnsiTheme="minorHAnsi" w:cstheme="minorHAnsi"/>
                <w:sz w:val="24"/>
                <w:szCs w:val="24"/>
                <w:lang w:eastAsia="en-US"/>
              </w:rPr>
              <w:t xml:space="preserve"> </w:t>
            </w:r>
            <w:r w:rsidRPr="001754BB">
              <w:rPr>
                <w:rFonts w:asciiTheme="minorHAnsi" w:hAnsiTheme="minorHAnsi" w:cstheme="minorHAnsi"/>
                <w:sz w:val="24"/>
                <w:szCs w:val="24"/>
                <w:lang w:eastAsia="en-US"/>
              </w:rPr>
              <w:t>d’Eau</w:t>
            </w:r>
            <w:r w:rsidR="00CE2994">
              <w:rPr>
                <w:rFonts w:asciiTheme="minorHAnsi" w:hAnsiTheme="minorHAnsi" w:cstheme="minorHAnsi"/>
                <w:sz w:val="24"/>
                <w:szCs w:val="24"/>
                <w:lang w:eastAsia="en-US"/>
              </w:rPr>
              <w:t xml:space="preserve"> </w:t>
            </w:r>
            <w:r w:rsidRPr="001754BB">
              <w:rPr>
                <w:rFonts w:asciiTheme="minorHAnsi" w:hAnsiTheme="minorHAnsi" w:cstheme="minorHAnsi"/>
                <w:sz w:val="24"/>
                <w:szCs w:val="24"/>
                <w:lang w:eastAsia="en-US"/>
              </w:rPr>
              <w:t>Potable</w:t>
            </w:r>
          </w:p>
        </w:tc>
      </w:tr>
      <w:tr w:rsidR="00D54C69" w:rsidRPr="00A929CE" w:rsidTr="0088575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26" w:type="pct"/>
            <w:shd w:val="clear" w:color="auto" w:fill="F2F2F2" w:themeFill="background1" w:themeFillShade="F2"/>
          </w:tcPr>
          <w:p w:rsidR="00D54C69" w:rsidRPr="00B8772C" w:rsidRDefault="00D54C69" w:rsidP="0088575D">
            <w:pPr>
              <w:pStyle w:val="Tbltxt"/>
              <w:shd w:val="clear" w:color="auto" w:fill="DFE3E5" w:themeFill="background2"/>
              <w:spacing w:line="360" w:lineRule="auto"/>
              <w:jc w:val="both"/>
              <w:rPr>
                <w:rFonts w:asciiTheme="minorHAnsi" w:hAnsiTheme="minorHAnsi" w:cstheme="minorHAnsi"/>
                <w:color w:val="auto"/>
                <w:sz w:val="24"/>
                <w:szCs w:val="24"/>
              </w:rPr>
            </w:pPr>
            <w:r w:rsidRPr="00B8772C">
              <w:rPr>
                <w:rFonts w:asciiTheme="minorHAnsi" w:hAnsiTheme="minorHAnsi" w:cstheme="minorHAnsi"/>
                <w:color w:val="auto"/>
                <w:sz w:val="24"/>
                <w:szCs w:val="24"/>
              </w:rPr>
              <w:t>BAD</w:t>
            </w:r>
          </w:p>
        </w:tc>
        <w:tc>
          <w:tcPr>
            <w:tcW w:w="3574" w:type="pct"/>
            <w:shd w:val="clear" w:color="auto" w:fill="F2F2F2" w:themeFill="background1" w:themeFillShade="F2"/>
          </w:tcPr>
          <w:p w:rsidR="00D54C69" w:rsidRPr="001754BB" w:rsidRDefault="00D54C69" w:rsidP="0088575D">
            <w:pPr>
              <w:pStyle w:val="Tbltxt"/>
              <w:shd w:val="clear" w:color="auto" w:fill="DFE3E5" w:themeFill="background2"/>
              <w:spacing w:line="360" w:lineRule="auto"/>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4"/>
                <w:szCs w:val="24"/>
              </w:rPr>
            </w:pPr>
            <w:r w:rsidRPr="001754BB">
              <w:rPr>
                <w:rFonts w:asciiTheme="minorHAnsi" w:hAnsiTheme="minorHAnsi" w:cstheme="minorHAnsi"/>
                <w:sz w:val="24"/>
                <w:szCs w:val="24"/>
              </w:rPr>
              <w:t>Banque Africaine de Développement</w:t>
            </w:r>
          </w:p>
        </w:tc>
      </w:tr>
      <w:tr w:rsidR="00D54C69" w:rsidRPr="00A929CE" w:rsidTr="0088575D">
        <w:tc>
          <w:tcPr>
            <w:cnfStyle w:val="001000000000" w:firstRow="0" w:lastRow="0" w:firstColumn="1" w:lastColumn="0" w:oddVBand="0" w:evenVBand="0" w:oddHBand="0" w:evenHBand="0" w:firstRowFirstColumn="0" w:firstRowLastColumn="0" w:lastRowFirstColumn="0" w:lastRowLastColumn="0"/>
            <w:tcW w:w="1426" w:type="pct"/>
            <w:shd w:val="clear" w:color="auto" w:fill="F2F2F2" w:themeFill="background1" w:themeFillShade="F2"/>
          </w:tcPr>
          <w:p w:rsidR="00D54C69" w:rsidRPr="00B8772C" w:rsidRDefault="00D54C69" w:rsidP="0088575D">
            <w:pPr>
              <w:pStyle w:val="Tbltxt"/>
              <w:shd w:val="clear" w:color="auto" w:fill="DFE3E5" w:themeFill="background2"/>
              <w:spacing w:line="360" w:lineRule="auto"/>
              <w:jc w:val="both"/>
              <w:rPr>
                <w:rFonts w:asciiTheme="minorHAnsi" w:hAnsiTheme="minorHAnsi" w:cstheme="minorHAnsi"/>
                <w:color w:val="auto"/>
                <w:sz w:val="24"/>
                <w:szCs w:val="24"/>
              </w:rPr>
            </w:pPr>
            <w:r w:rsidRPr="00B8772C">
              <w:rPr>
                <w:rFonts w:asciiTheme="minorHAnsi" w:hAnsiTheme="minorHAnsi" w:cstheme="minorHAnsi"/>
                <w:color w:val="auto"/>
                <w:sz w:val="24"/>
                <w:szCs w:val="24"/>
              </w:rPr>
              <w:t>BM</w:t>
            </w:r>
          </w:p>
        </w:tc>
        <w:tc>
          <w:tcPr>
            <w:tcW w:w="3574" w:type="pct"/>
            <w:shd w:val="clear" w:color="auto" w:fill="F2F2F2" w:themeFill="background1" w:themeFillShade="F2"/>
          </w:tcPr>
          <w:p w:rsidR="00D54C69" w:rsidRPr="001754BB" w:rsidRDefault="00D54C69" w:rsidP="0088575D">
            <w:pPr>
              <w:pStyle w:val="Tbltxt"/>
              <w:shd w:val="clear" w:color="auto" w:fill="DFE3E5" w:themeFill="background2"/>
              <w:spacing w:line="360" w:lineRule="auto"/>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4"/>
                <w:szCs w:val="24"/>
              </w:rPr>
            </w:pPr>
            <w:r w:rsidRPr="001754BB">
              <w:rPr>
                <w:rFonts w:asciiTheme="minorHAnsi" w:hAnsiTheme="minorHAnsi" w:cstheme="minorHAnsi"/>
                <w:sz w:val="24"/>
                <w:szCs w:val="24"/>
              </w:rPr>
              <w:t>Banque Mondiale</w:t>
            </w:r>
          </w:p>
        </w:tc>
      </w:tr>
      <w:tr w:rsidR="00D54C69" w:rsidRPr="00A929CE" w:rsidTr="0088575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26" w:type="pct"/>
            <w:shd w:val="clear" w:color="auto" w:fill="F2F2F2" w:themeFill="background1" w:themeFillShade="F2"/>
          </w:tcPr>
          <w:p w:rsidR="00D54C69" w:rsidRPr="00B8772C" w:rsidRDefault="00D54C69" w:rsidP="0088575D">
            <w:pPr>
              <w:pStyle w:val="Tbltxt"/>
              <w:shd w:val="clear" w:color="auto" w:fill="DFE3E5" w:themeFill="background2"/>
              <w:spacing w:line="360" w:lineRule="auto"/>
              <w:jc w:val="both"/>
              <w:rPr>
                <w:rFonts w:asciiTheme="minorHAnsi" w:hAnsiTheme="minorHAnsi" w:cstheme="minorHAnsi"/>
                <w:color w:val="auto"/>
                <w:sz w:val="24"/>
                <w:szCs w:val="24"/>
              </w:rPr>
            </w:pPr>
            <w:r w:rsidRPr="00B8772C">
              <w:rPr>
                <w:rFonts w:asciiTheme="minorHAnsi" w:hAnsiTheme="minorHAnsi" w:cstheme="minorHAnsi"/>
                <w:color w:val="auto"/>
                <w:sz w:val="24"/>
                <w:szCs w:val="24"/>
                <w:lang w:eastAsia="en-US"/>
              </w:rPr>
              <w:t>BPO</w:t>
            </w:r>
          </w:p>
        </w:tc>
        <w:tc>
          <w:tcPr>
            <w:tcW w:w="3574" w:type="pct"/>
            <w:shd w:val="clear" w:color="auto" w:fill="F2F2F2" w:themeFill="background1" w:themeFillShade="F2"/>
          </w:tcPr>
          <w:p w:rsidR="00D54C69" w:rsidRPr="001754BB" w:rsidRDefault="00D54C69" w:rsidP="0088575D">
            <w:pPr>
              <w:pStyle w:val="Tbltxt"/>
              <w:shd w:val="clear" w:color="auto" w:fill="DFE3E5" w:themeFill="background2"/>
              <w:spacing w:line="360" w:lineRule="auto"/>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4"/>
                <w:szCs w:val="24"/>
                <w:lang w:eastAsia="en-US"/>
              </w:rPr>
            </w:pPr>
            <w:r w:rsidRPr="001754BB">
              <w:rPr>
                <w:rFonts w:asciiTheme="minorHAnsi" w:hAnsiTheme="minorHAnsi" w:cstheme="minorHAnsi"/>
                <w:sz w:val="24"/>
                <w:szCs w:val="24"/>
                <w:lang w:eastAsia="en-US"/>
              </w:rPr>
              <w:t>Budget-Programme par Objectifs</w:t>
            </w:r>
          </w:p>
        </w:tc>
      </w:tr>
      <w:tr w:rsidR="00D54C69" w:rsidRPr="00A929CE" w:rsidTr="0088575D">
        <w:tc>
          <w:tcPr>
            <w:cnfStyle w:val="001000000000" w:firstRow="0" w:lastRow="0" w:firstColumn="1" w:lastColumn="0" w:oddVBand="0" w:evenVBand="0" w:oddHBand="0" w:evenHBand="0" w:firstRowFirstColumn="0" w:firstRowLastColumn="0" w:lastRowFirstColumn="0" w:lastRowLastColumn="0"/>
            <w:tcW w:w="1426" w:type="pct"/>
            <w:shd w:val="clear" w:color="auto" w:fill="F2F2F2" w:themeFill="background1" w:themeFillShade="F2"/>
          </w:tcPr>
          <w:p w:rsidR="00D54C69" w:rsidRPr="00B8772C" w:rsidRDefault="00D54C69" w:rsidP="0088575D">
            <w:pPr>
              <w:pStyle w:val="Tbltxt"/>
              <w:shd w:val="clear" w:color="auto" w:fill="DFE3E5" w:themeFill="background2"/>
              <w:spacing w:line="360" w:lineRule="auto"/>
              <w:jc w:val="both"/>
              <w:rPr>
                <w:rFonts w:asciiTheme="minorHAnsi" w:hAnsiTheme="minorHAnsi" w:cstheme="minorHAnsi"/>
                <w:color w:val="auto"/>
                <w:sz w:val="24"/>
                <w:szCs w:val="24"/>
              </w:rPr>
            </w:pPr>
            <w:r w:rsidRPr="00B8772C">
              <w:rPr>
                <w:rFonts w:asciiTheme="minorHAnsi" w:hAnsiTheme="minorHAnsi" w:cstheme="minorHAnsi"/>
                <w:color w:val="auto"/>
                <w:sz w:val="24"/>
                <w:szCs w:val="24"/>
              </w:rPr>
              <w:t>CAEPHA</w:t>
            </w:r>
          </w:p>
        </w:tc>
        <w:tc>
          <w:tcPr>
            <w:tcW w:w="3574" w:type="pct"/>
            <w:shd w:val="clear" w:color="auto" w:fill="F2F2F2" w:themeFill="background1" w:themeFillShade="F2"/>
          </w:tcPr>
          <w:p w:rsidR="00D54C69" w:rsidRPr="001754BB" w:rsidRDefault="00D54C69" w:rsidP="0088575D">
            <w:pPr>
              <w:pStyle w:val="Tbltxt"/>
              <w:shd w:val="clear" w:color="auto" w:fill="DFE3E5" w:themeFill="background2"/>
              <w:spacing w:line="360" w:lineRule="auto"/>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4"/>
                <w:szCs w:val="24"/>
              </w:rPr>
            </w:pPr>
            <w:r w:rsidRPr="001754BB">
              <w:rPr>
                <w:rFonts w:asciiTheme="minorHAnsi" w:hAnsiTheme="minorHAnsi" w:cstheme="minorHAnsi"/>
                <w:sz w:val="24"/>
                <w:szCs w:val="24"/>
              </w:rPr>
              <w:t>Coalition</w:t>
            </w:r>
            <w:r w:rsidR="00CE2994">
              <w:rPr>
                <w:rFonts w:asciiTheme="minorHAnsi" w:hAnsiTheme="minorHAnsi" w:cstheme="minorHAnsi"/>
                <w:sz w:val="24"/>
                <w:szCs w:val="24"/>
              </w:rPr>
              <w:t xml:space="preserve"> </w:t>
            </w:r>
            <w:r w:rsidRPr="001754BB">
              <w:rPr>
                <w:rFonts w:asciiTheme="minorHAnsi" w:hAnsiTheme="minorHAnsi" w:cstheme="minorHAnsi"/>
                <w:sz w:val="24"/>
                <w:szCs w:val="24"/>
              </w:rPr>
              <w:t>pour</w:t>
            </w:r>
            <w:r w:rsidR="00CE2994">
              <w:rPr>
                <w:rFonts w:asciiTheme="minorHAnsi" w:hAnsiTheme="minorHAnsi" w:cstheme="minorHAnsi"/>
                <w:sz w:val="24"/>
                <w:szCs w:val="24"/>
              </w:rPr>
              <w:t xml:space="preserve"> </w:t>
            </w:r>
            <w:r w:rsidRPr="001754BB">
              <w:rPr>
                <w:rFonts w:asciiTheme="minorHAnsi" w:hAnsiTheme="minorHAnsi" w:cstheme="minorHAnsi"/>
                <w:sz w:val="24"/>
                <w:szCs w:val="24"/>
              </w:rPr>
              <w:t>l’Accès à l’Eau</w:t>
            </w:r>
            <w:r w:rsidR="00CE2994">
              <w:rPr>
                <w:rFonts w:asciiTheme="minorHAnsi" w:hAnsiTheme="minorHAnsi" w:cstheme="minorHAnsi"/>
                <w:sz w:val="24"/>
                <w:szCs w:val="24"/>
              </w:rPr>
              <w:t xml:space="preserve"> </w:t>
            </w:r>
            <w:r w:rsidRPr="001754BB">
              <w:rPr>
                <w:rFonts w:asciiTheme="minorHAnsi" w:hAnsiTheme="minorHAnsi" w:cstheme="minorHAnsi"/>
                <w:sz w:val="24"/>
                <w:szCs w:val="24"/>
              </w:rPr>
              <w:t>Potable, l’Hygiène et l’Assainissement</w:t>
            </w:r>
          </w:p>
        </w:tc>
      </w:tr>
      <w:tr w:rsidR="00D54C69" w:rsidRPr="00A929CE" w:rsidTr="0088575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26" w:type="pct"/>
            <w:shd w:val="clear" w:color="auto" w:fill="F2F2F2" w:themeFill="background1" w:themeFillShade="F2"/>
          </w:tcPr>
          <w:p w:rsidR="00D54C69" w:rsidRPr="00B8772C" w:rsidRDefault="00D54C69" w:rsidP="0088575D">
            <w:pPr>
              <w:pStyle w:val="Tbltxt"/>
              <w:shd w:val="clear" w:color="auto" w:fill="DFE3E5" w:themeFill="background2"/>
              <w:spacing w:line="360" w:lineRule="auto"/>
              <w:jc w:val="both"/>
              <w:rPr>
                <w:rFonts w:asciiTheme="minorHAnsi" w:hAnsiTheme="minorHAnsi" w:cstheme="minorHAnsi"/>
                <w:color w:val="auto"/>
                <w:sz w:val="24"/>
                <w:szCs w:val="24"/>
              </w:rPr>
            </w:pPr>
            <w:r w:rsidRPr="00B8772C">
              <w:rPr>
                <w:rFonts w:asciiTheme="minorHAnsi" w:hAnsiTheme="minorHAnsi" w:cstheme="minorHAnsi"/>
                <w:color w:val="auto"/>
                <w:sz w:val="24"/>
                <w:szCs w:val="24"/>
                <w:lang w:eastAsia="en-US"/>
              </w:rPr>
              <w:t>CDMT</w:t>
            </w:r>
          </w:p>
        </w:tc>
        <w:tc>
          <w:tcPr>
            <w:tcW w:w="3574" w:type="pct"/>
            <w:shd w:val="clear" w:color="auto" w:fill="F2F2F2" w:themeFill="background1" w:themeFillShade="F2"/>
          </w:tcPr>
          <w:p w:rsidR="00D54C69" w:rsidRPr="001754BB" w:rsidRDefault="00D54C69" w:rsidP="0088575D">
            <w:pPr>
              <w:pStyle w:val="Tbltxt"/>
              <w:shd w:val="clear" w:color="auto" w:fill="DFE3E5" w:themeFill="background2"/>
              <w:spacing w:line="360" w:lineRule="auto"/>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4"/>
                <w:szCs w:val="24"/>
                <w:lang w:eastAsia="en-US"/>
              </w:rPr>
            </w:pPr>
            <w:r w:rsidRPr="001754BB">
              <w:rPr>
                <w:rFonts w:asciiTheme="minorHAnsi" w:hAnsiTheme="minorHAnsi" w:cstheme="minorHAnsi"/>
                <w:sz w:val="24"/>
                <w:szCs w:val="24"/>
                <w:lang w:eastAsia="en-US"/>
              </w:rPr>
              <w:t>Cadre des Dépenses à Moyen Terme</w:t>
            </w:r>
          </w:p>
        </w:tc>
      </w:tr>
      <w:tr w:rsidR="00D54C69" w:rsidRPr="00A929CE" w:rsidTr="0088575D">
        <w:tc>
          <w:tcPr>
            <w:cnfStyle w:val="001000000000" w:firstRow="0" w:lastRow="0" w:firstColumn="1" w:lastColumn="0" w:oddVBand="0" w:evenVBand="0" w:oddHBand="0" w:evenHBand="0" w:firstRowFirstColumn="0" w:firstRowLastColumn="0" w:lastRowFirstColumn="0" w:lastRowLastColumn="0"/>
            <w:tcW w:w="1426" w:type="pct"/>
            <w:shd w:val="clear" w:color="auto" w:fill="F2F2F2" w:themeFill="background1" w:themeFillShade="F2"/>
          </w:tcPr>
          <w:p w:rsidR="00D54C69" w:rsidRPr="00B8772C" w:rsidRDefault="00D54C69" w:rsidP="0088575D">
            <w:pPr>
              <w:pStyle w:val="Tbltxt"/>
              <w:shd w:val="clear" w:color="auto" w:fill="DFE3E5" w:themeFill="background2"/>
              <w:spacing w:line="360" w:lineRule="auto"/>
              <w:jc w:val="both"/>
              <w:rPr>
                <w:rFonts w:asciiTheme="minorHAnsi" w:hAnsiTheme="minorHAnsi" w:cstheme="minorHAnsi"/>
                <w:color w:val="auto"/>
                <w:sz w:val="24"/>
                <w:szCs w:val="24"/>
              </w:rPr>
            </w:pPr>
            <w:r w:rsidRPr="00B8772C">
              <w:rPr>
                <w:rFonts w:asciiTheme="minorHAnsi" w:hAnsiTheme="minorHAnsi" w:cstheme="minorHAnsi"/>
                <w:color w:val="auto"/>
                <w:sz w:val="24"/>
                <w:szCs w:val="24"/>
              </w:rPr>
              <w:t>CN-CIEPA</w:t>
            </w:r>
          </w:p>
        </w:tc>
        <w:tc>
          <w:tcPr>
            <w:tcW w:w="3574" w:type="pct"/>
            <w:shd w:val="clear" w:color="auto" w:fill="F2F2F2" w:themeFill="background1" w:themeFillShade="F2"/>
          </w:tcPr>
          <w:p w:rsidR="00D54C69" w:rsidRPr="001754BB" w:rsidRDefault="00D54C69" w:rsidP="0088575D">
            <w:pPr>
              <w:pStyle w:val="Tbltxt"/>
              <w:shd w:val="clear" w:color="auto" w:fill="DFE3E5" w:themeFill="background2"/>
              <w:spacing w:line="360" w:lineRule="auto"/>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4"/>
                <w:szCs w:val="24"/>
              </w:rPr>
            </w:pPr>
            <w:r w:rsidRPr="001754BB">
              <w:rPr>
                <w:rFonts w:asciiTheme="minorHAnsi" w:hAnsiTheme="minorHAnsi" w:cstheme="minorHAnsi"/>
                <w:sz w:val="24"/>
                <w:szCs w:val="24"/>
              </w:rPr>
              <w:t>Coalition Nationale de la Campagne Internationale pour</w:t>
            </w:r>
            <w:r w:rsidR="00CE2994">
              <w:rPr>
                <w:rFonts w:asciiTheme="minorHAnsi" w:hAnsiTheme="minorHAnsi" w:cstheme="minorHAnsi"/>
                <w:sz w:val="24"/>
                <w:szCs w:val="24"/>
              </w:rPr>
              <w:t xml:space="preserve"> </w:t>
            </w:r>
            <w:r w:rsidRPr="001754BB">
              <w:rPr>
                <w:rFonts w:asciiTheme="minorHAnsi" w:hAnsiTheme="minorHAnsi" w:cstheme="minorHAnsi"/>
                <w:sz w:val="24"/>
                <w:szCs w:val="24"/>
              </w:rPr>
              <w:t>l'Eau</w:t>
            </w:r>
            <w:r w:rsidR="00CE2994">
              <w:rPr>
                <w:rFonts w:asciiTheme="minorHAnsi" w:hAnsiTheme="minorHAnsi" w:cstheme="minorHAnsi"/>
                <w:sz w:val="24"/>
                <w:szCs w:val="24"/>
              </w:rPr>
              <w:t xml:space="preserve"> </w:t>
            </w:r>
            <w:r w:rsidRPr="001754BB">
              <w:rPr>
                <w:rFonts w:asciiTheme="minorHAnsi" w:hAnsiTheme="minorHAnsi" w:cstheme="minorHAnsi"/>
                <w:sz w:val="24"/>
                <w:szCs w:val="24"/>
              </w:rPr>
              <w:t>Potable et l'Assainissement</w:t>
            </w:r>
          </w:p>
        </w:tc>
      </w:tr>
      <w:tr w:rsidR="00D54C69" w:rsidRPr="00A929CE" w:rsidTr="0088575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26" w:type="pct"/>
            <w:shd w:val="clear" w:color="auto" w:fill="F2F2F2" w:themeFill="background1" w:themeFillShade="F2"/>
          </w:tcPr>
          <w:p w:rsidR="00D54C69" w:rsidRPr="00B8772C" w:rsidRDefault="00D54C69" w:rsidP="0088575D">
            <w:pPr>
              <w:pStyle w:val="Tbltxt"/>
              <w:shd w:val="clear" w:color="auto" w:fill="DFE3E5" w:themeFill="background2"/>
              <w:spacing w:line="360" w:lineRule="auto"/>
              <w:jc w:val="both"/>
              <w:rPr>
                <w:rFonts w:asciiTheme="minorHAnsi" w:hAnsiTheme="minorHAnsi" w:cstheme="minorHAnsi"/>
                <w:color w:val="auto"/>
                <w:sz w:val="24"/>
                <w:szCs w:val="24"/>
              </w:rPr>
            </w:pPr>
            <w:r w:rsidRPr="00B8772C">
              <w:rPr>
                <w:rFonts w:asciiTheme="minorHAnsi" w:hAnsiTheme="minorHAnsi" w:cstheme="minorHAnsi"/>
                <w:color w:val="auto"/>
                <w:sz w:val="24"/>
                <w:szCs w:val="24"/>
                <w:lang w:eastAsia="en-US"/>
              </w:rPr>
              <w:t>CP</w:t>
            </w:r>
          </w:p>
        </w:tc>
        <w:tc>
          <w:tcPr>
            <w:tcW w:w="3574" w:type="pct"/>
            <w:shd w:val="clear" w:color="auto" w:fill="F2F2F2" w:themeFill="background1" w:themeFillShade="F2"/>
          </w:tcPr>
          <w:p w:rsidR="00D54C69" w:rsidRPr="001754BB" w:rsidRDefault="00D54C69" w:rsidP="0088575D">
            <w:pPr>
              <w:pStyle w:val="Tbltxt"/>
              <w:shd w:val="clear" w:color="auto" w:fill="DFE3E5" w:themeFill="background2"/>
              <w:spacing w:line="360" w:lineRule="auto"/>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4"/>
                <w:szCs w:val="24"/>
              </w:rPr>
            </w:pPr>
            <w:r w:rsidRPr="001754BB">
              <w:rPr>
                <w:rFonts w:asciiTheme="minorHAnsi" w:hAnsiTheme="minorHAnsi" w:cstheme="minorHAnsi"/>
                <w:sz w:val="24"/>
                <w:szCs w:val="24"/>
                <w:lang w:eastAsia="en-US"/>
              </w:rPr>
              <w:t>Comité de Pilotage</w:t>
            </w:r>
          </w:p>
        </w:tc>
      </w:tr>
      <w:tr w:rsidR="00D54C69" w:rsidRPr="00A929CE" w:rsidTr="0088575D">
        <w:tc>
          <w:tcPr>
            <w:cnfStyle w:val="001000000000" w:firstRow="0" w:lastRow="0" w:firstColumn="1" w:lastColumn="0" w:oddVBand="0" w:evenVBand="0" w:oddHBand="0" w:evenHBand="0" w:firstRowFirstColumn="0" w:firstRowLastColumn="0" w:lastRowFirstColumn="0" w:lastRowLastColumn="0"/>
            <w:tcW w:w="1426" w:type="pct"/>
            <w:shd w:val="clear" w:color="auto" w:fill="F2F2F2" w:themeFill="background1" w:themeFillShade="F2"/>
          </w:tcPr>
          <w:p w:rsidR="00D54C69" w:rsidRPr="00B8772C" w:rsidRDefault="00D54C69" w:rsidP="0088575D">
            <w:pPr>
              <w:pStyle w:val="Tbltxt"/>
              <w:shd w:val="clear" w:color="auto" w:fill="DFE3E5" w:themeFill="background2"/>
              <w:spacing w:line="360" w:lineRule="auto"/>
              <w:jc w:val="both"/>
              <w:rPr>
                <w:rFonts w:asciiTheme="minorHAnsi" w:hAnsiTheme="minorHAnsi" w:cstheme="minorHAnsi"/>
                <w:color w:val="auto"/>
                <w:sz w:val="24"/>
                <w:szCs w:val="24"/>
              </w:rPr>
            </w:pPr>
            <w:r w:rsidRPr="00B8772C">
              <w:rPr>
                <w:rFonts w:asciiTheme="minorHAnsi" w:hAnsiTheme="minorHAnsi" w:cstheme="minorHAnsi"/>
                <w:color w:val="auto"/>
                <w:sz w:val="24"/>
                <w:szCs w:val="24"/>
                <w:lang w:eastAsia="en-US"/>
              </w:rPr>
              <w:t>CPS</w:t>
            </w:r>
          </w:p>
        </w:tc>
        <w:tc>
          <w:tcPr>
            <w:tcW w:w="3574" w:type="pct"/>
            <w:shd w:val="clear" w:color="auto" w:fill="F2F2F2" w:themeFill="background1" w:themeFillShade="F2"/>
          </w:tcPr>
          <w:p w:rsidR="00D54C69" w:rsidRPr="001754BB" w:rsidRDefault="00D54C69" w:rsidP="0088575D">
            <w:pPr>
              <w:pStyle w:val="Tbltxt"/>
              <w:shd w:val="clear" w:color="auto" w:fill="DFE3E5" w:themeFill="background2"/>
              <w:spacing w:line="360" w:lineRule="auto"/>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4"/>
                <w:szCs w:val="24"/>
                <w:lang w:eastAsia="en-US"/>
              </w:rPr>
            </w:pPr>
            <w:r w:rsidRPr="001754BB">
              <w:rPr>
                <w:rFonts w:asciiTheme="minorHAnsi" w:hAnsiTheme="minorHAnsi" w:cstheme="minorHAnsi"/>
                <w:sz w:val="24"/>
                <w:szCs w:val="24"/>
                <w:lang w:eastAsia="en-US"/>
              </w:rPr>
              <w:t>Cellule</w:t>
            </w:r>
            <w:r w:rsidR="00CE2994">
              <w:rPr>
                <w:rFonts w:asciiTheme="minorHAnsi" w:hAnsiTheme="minorHAnsi" w:cstheme="minorHAnsi"/>
                <w:sz w:val="24"/>
                <w:szCs w:val="24"/>
                <w:lang w:eastAsia="en-US"/>
              </w:rPr>
              <w:t xml:space="preserve"> </w:t>
            </w:r>
            <w:r w:rsidRPr="001754BB">
              <w:rPr>
                <w:rFonts w:asciiTheme="minorHAnsi" w:hAnsiTheme="minorHAnsi" w:cstheme="minorHAnsi"/>
                <w:sz w:val="24"/>
                <w:szCs w:val="24"/>
                <w:lang w:eastAsia="en-US"/>
              </w:rPr>
              <w:t>Planification et Statistiques</w:t>
            </w:r>
          </w:p>
        </w:tc>
      </w:tr>
      <w:tr w:rsidR="00D54C69" w:rsidRPr="00A929CE" w:rsidTr="0088575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26" w:type="pct"/>
            <w:shd w:val="clear" w:color="auto" w:fill="F2F2F2" w:themeFill="background1" w:themeFillShade="F2"/>
          </w:tcPr>
          <w:p w:rsidR="00D54C69" w:rsidRPr="00B8772C" w:rsidRDefault="00D54C69" w:rsidP="0088575D">
            <w:pPr>
              <w:pStyle w:val="Tbltxt"/>
              <w:shd w:val="clear" w:color="auto" w:fill="DFE3E5" w:themeFill="background2"/>
              <w:spacing w:line="360" w:lineRule="auto"/>
              <w:jc w:val="both"/>
              <w:rPr>
                <w:rFonts w:asciiTheme="minorHAnsi" w:hAnsiTheme="minorHAnsi" w:cstheme="minorHAnsi"/>
                <w:color w:val="auto"/>
                <w:sz w:val="24"/>
                <w:szCs w:val="24"/>
              </w:rPr>
            </w:pPr>
            <w:r w:rsidRPr="00B8772C">
              <w:rPr>
                <w:rFonts w:asciiTheme="minorHAnsi" w:hAnsiTheme="minorHAnsi" w:cstheme="minorHAnsi"/>
                <w:color w:val="auto"/>
                <w:sz w:val="24"/>
                <w:szCs w:val="24"/>
                <w:lang w:eastAsia="en-US"/>
              </w:rPr>
              <w:t>CPS-SEEUDE</w:t>
            </w:r>
          </w:p>
        </w:tc>
        <w:tc>
          <w:tcPr>
            <w:tcW w:w="3574" w:type="pct"/>
            <w:shd w:val="clear" w:color="auto" w:fill="F2F2F2" w:themeFill="background1" w:themeFillShade="F2"/>
          </w:tcPr>
          <w:p w:rsidR="00D54C69" w:rsidRPr="001754BB" w:rsidRDefault="00D54C69" w:rsidP="0088575D">
            <w:pPr>
              <w:pStyle w:val="Tbltxt"/>
              <w:shd w:val="clear" w:color="auto" w:fill="DFE3E5" w:themeFill="background2"/>
              <w:spacing w:line="360" w:lineRule="auto"/>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4"/>
                <w:szCs w:val="24"/>
                <w:lang w:eastAsia="en-US"/>
              </w:rPr>
            </w:pPr>
            <w:r w:rsidRPr="001754BB">
              <w:rPr>
                <w:rFonts w:asciiTheme="minorHAnsi" w:hAnsiTheme="minorHAnsi" w:cstheme="minorHAnsi"/>
                <w:sz w:val="24"/>
                <w:szCs w:val="24"/>
                <w:lang w:eastAsia="en-US"/>
              </w:rPr>
              <w:t>CPS du Secteur Eau, Environnement, Urbanisme et Domaines de l’État</w:t>
            </w:r>
          </w:p>
        </w:tc>
      </w:tr>
      <w:tr w:rsidR="00D54C69" w:rsidRPr="00A929CE" w:rsidTr="0088575D">
        <w:tc>
          <w:tcPr>
            <w:cnfStyle w:val="001000000000" w:firstRow="0" w:lastRow="0" w:firstColumn="1" w:lastColumn="0" w:oddVBand="0" w:evenVBand="0" w:oddHBand="0" w:evenHBand="0" w:firstRowFirstColumn="0" w:firstRowLastColumn="0" w:lastRowFirstColumn="0" w:lastRowLastColumn="0"/>
            <w:tcW w:w="1426" w:type="pct"/>
            <w:shd w:val="clear" w:color="auto" w:fill="F2F2F2" w:themeFill="background1" w:themeFillShade="F2"/>
          </w:tcPr>
          <w:p w:rsidR="00D54C69" w:rsidRPr="00B8772C" w:rsidRDefault="00D54C69" w:rsidP="0088575D">
            <w:pPr>
              <w:pStyle w:val="Tbltxt"/>
              <w:shd w:val="clear" w:color="auto" w:fill="DFE3E5" w:themeFill="background2"/>
              <w:spacing w:line="360" w:lineRule="auto"/>
              <w:jc w:val="both"/>
              <w:rPr>
                <w:rFonts w:asciiTheme="minorHAnsi" w:hAnsiTheme="minorHAnsi" w:cstheme="minorHAnsi"/>
                <w:color w:val="auto"/>
                <w:sz w:val="24"/>
                <w:szCs w:val="24"/>
              </w:rPr>
            </w:pPr>
            <w:r w:rsidRPr="00B8772C">
              <w:rPr>
                <w:rFonts w:asciiTheme="minorHAnsi" w:hAnsiTheme="minorHAnsi" w:cstheme="minorHAnsi"/>
                <w:color w:val="auto"/>
                <w:sz w:val="24"/>
                <w:szCs w:val="24"/>
                <w:lang w:eastAsia="en-US"/>
              </w:rPr>
              <w:t>CREDD</w:t>
            </w:r>
          </w:p>
        </w:tc>
        <w:tc>
          <w:tcPr>
            <w:tcW w:w="3574" w:type="pct"/>
            <w:shd w:val="clear" w:color="auto" w:fill="F2F2F2" w:themeFill="background1" w:themeFillShade="F2"/>
          </w:tcPr>
          <w:p w:rsidR="00D54C69" w:rsidRPr="001754BB" w:rsidRDefault="00D54C69" w:rsidP="0088575D">
            <w:pPr>
              <w:pStyle w:val="Tbltxt"/>
              <w:shd w:val="clear" w:color="auto" w:fill="DFE3E5" w:themeFill="background2"/>
              <w:spacing w:line="360" w:lineRule="auto"/>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4"/>
                <w:szCs w:val="24"/>
                <w:lang w:eastAsia="en-US"/>
              </w:rPr>
            </w:pPr>
            <w:r w:rsidRPr="001754BB">
              <w:rPr>
                <w:rFonts w:asciiTheme="minorHAnsi" w:hAnsiTheme="minorHAnsi" w:cstheme="minorHAnsi"/>
                <w:sz w:val="24"/>
                <w:szCs w:val="24"/>
                <w:lang w:eastAsia="en-US"/>
              </w:rPr>
              <w:t>Cadre</w:t>
            </w:r>
            <w:r w:rsidR="00CE2994">
              <w:rPr>
                <w:rFonts w:asciiTheme="minorHAnsi" w:hAnsiTheme="minorHAnsi" w:cstheme="minorHAnsi"/>
                <w:sz w:val="24"/>
                <w:szCs w:val="24"/>
                <w:lang w:eastAsia="en-US"/>
              </w:rPr>
              <w:t xml:space="preserve"> </w:t>
            </w:r>
            <w:r w:rsidRPr="001754BB">
              <w:rPr>
                <w:rFonts w:asciiTheme="minorHAnsi" w:hAnsiTheme="minorHAnsi" w:cstheme="minorHAnsi"/>
                <w:sz w:val="24"/>
                <w:szCs w:val="24"/>
                <w:lang w:eastAsia="en-US"/>
              </w:rPr>
              <w:t>Relance</w:t>
            </w:r>
            <w:r w:rsidR="00CE2994">
              <w:rPr>
                <w:rFonts w:asciiTheme="minorHAnsi" w:hAnsiTheme="minorHAnsi" w:cstheme="minorHAnsi"/>
                <w:sz w:val="24"/>
                <w:szCs w:val="24"/>
                <w:lang w:eastAsia="en-US"/>
              </w:rPr>
              <w:t xml:space="preserve"> </w:t>
            </w:r>
            <w:r w:rsidRPr="001754BB">
              <w:rPr>
                <w:rFonts w:asciiTheme="minorHAnsi" w:hAnsiTheme="minorHAnsi" w:cstheme="minorHAnsi"/>
                <w:sz w:val="24"/>
                <w:szCs w:val="24"/>
                <w:lang w:eastAsia="en-US"/>
              </w:rPr>
              <w:t>Economique et de Développement Durable</w:t>
            </w:r>
          </w:p>
        </w:tc>
      </w:tr>
      <w:tr w:rsidR="00D54C69" w:rsidRPr="00A929CE" w:rsidTr="0088575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26" w:type="pct"/>
            <w:shd w:val="clear" w:color="auto" w:fill="F2F2F2" w:themeFill="background1" w:themeFillShade="F2"/>
          </w:tcPr>
          <w:p w:rsidR="00D54C69" w:rsidRPr="00B8772C" w:rsidRDefault="00D54C69" w:rsidP="0088575D">
            <w:pPr>
              <w:pStyle w:val="Tbltxt"/>
              <w:shd w:val="clear" w:color="auto" w:fill="DFE3E5" w:themeFill="background2"/>
              <w:spacing w:line="360" w:lineRule="auto"/>
              <w:jc w:val="both"/>
              <w:rPr>
                <w:rFonts w:asciiTheme="minorHAnsi" w:hAnsiTheme="minorHAnsi" w:cstheme="minorHAnsi"/>
                <w:color w:val="auto"/>
                <w:sz w:val="24"/>
                <w:szCs w:val="24"/>
                <w:lang w:eastAsia="en-US"/>
              </w:rPr>
            </w:pPr>
            <w:r w:rsidRPr="00B8772C">
              <w:rPr>
                <w:rFonts w:asciiTheme="minorHAnsi" w:hAnsiTheme="minorHAnsi" w:cstheme="minorHAnsi"/>
                <w:color w:val="auto"/>
                <w:sz w:val="24"/>
                <w:szCs w:val="24"/>
                <w:lang w:eastAsia="en-US"/>
              </w:rPr>
              <w:t>CREE</w:t>
            </w:r>
          </w:p>
        </w:tc>
        <w:tc>
          <w:tcPr>
            <w:tcW w:w="3574" w:type="pct"/>
            <w:shd w:val="clear" w:color="auto" w:fill="F2F2F2" w:themeFill="background1" w:themeFillShade="F2"/>
          </w:tcPr>
          <w:p w:rsidR="00D54C69" w:rsidRPr="001754BB" w:rsidRDefault="00D54C69" w:rsidP="0088575D">
            <w:pPr>
              <w:pStyle w:val="Tbltxt"/>
              <w:shd w:val="clear" w:color="auto" w:fill="DFE3E5" w:themeFill="background2"/>
              <w:spacing w:line="360" w:lineRule="auto"/>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4"/>
                <w:szCs w:val="24"/>
                <w:lang w:eastAsia="en-US"/>
              </w:rPr>
            </w:pPr>
            <w:r w:rsidRPr="001754BB">
              <w:rPr>
                <w:rFonts w:asciiTheme="minorHAnsi" w:hAnsiTheme="minorHAnsi" w:cstheme="minorHAnsi"/>
                <w:sz w:val="24"/>
                <w:szCs w:val="24"/>
                <w:lang w:eastAsia="en-US"/>
              </w:rPr>
              <w:t>Commission de Régulation de l’Electricité et de l’Eau</w:t>
            </w:r>
          </w:p>
        </w:tc>
      </w:tr>
      <w:tr w:rsidR="00D54C69" w:rsidRPr="00A929CE" w:rsidTr="0088575D">
        <w:tc>
          <w:tcPr>
            <w:cnfStyle w:val="001000000000" w:firstRow="0" w:lastRow="0" w:firstColumn="1" w:lastColumn="0" w:oddVBand="0" w:evenVBand="0" w:oddHBand="0" w:evenHBand="0" w:firstRowFirstColumn="0" w:firstRowLastColumn="0" w:lastRowFirstColumn="0" w:lastRowLastColumn="0"/>
            <w:tcW w:w="1426" w:type="pct"/>
            <w:shd w:val="clear" w:color="auto" w:fill="F2F2F2" w:themeFill="background1" w:themeFillShade="F2"/>
          </w:tcPr>
          <w:p w:rsidR="00D54C69" w:rsidRPr="00B8772C" w:rsidRDefault="00D54C69" w:rsidP="0088575D">
            <w:pPr>
              <w:pStyle w:val="Tbltxt"/>
              <w:shd w:val="clear" w:color="auto" w:fill="DFE3E5" w:themeFill="background2"/>
              <w:spacing w:line="360" w:lineRule="auto"/>
              <w:jc w:val="both"/>
              <w:rPr>
                <w:rFonts w:asciiTheme="minorHAnsi" w:hAnsiTheme="minorHAnsi" w:cstheme="minorHAnsi"/>
                <w:color w:val="auto"/>
                <w:sz w:val="24"/>
                <w:szCs w:val="24"/>
              </w:rPr>
            </w:pPr>
            <w:r w:rsidRPr="00B8772C">
              <w:rPr>
                <w:rFonts w:asciiTheme="minorHAnsi" w:hAnsiTheme="minorHAnsi" w:cstheme="minorHAnsi"/>
                <w:color w:val="auto"/>
                <w:sz w:val="24"/>
                <w:szCs w:val="24"/>
              </w:rPr>
              <w:t>CSCOM</w:t>
            </w:r>
          </w:p>
        </w:tc>
        <w:tc>
          <w:tcPr>
            <w:tcW w:w="3574" w:type="pct"/>
            <w:shd w:val="clear" w:color="auto" w:fill="F2F2F2" w:themeFill="background1" w:themeFillShade="F2"/>
          </w:tcPr>
          <w:p w:rsidR="00D54C69" w:rsidRPr="001754BB" w:rsidRDefault="00D54C69" w:rsidP="0088575D">
            <w:pPr>
              <w:pStyle w:val="Tbltxt"/>
              <w:shd w:val="clear" w:color="auto" w:fill="DFE3E5" w:themeFill="background2"/>
              <w:spacing w:line="360" w:lineRule="auto"/>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4"/>
                <w:szCs w:val="24"/>
              </w:rPr>
            </w:pPr>
            <w:r w:rsidRPr="001754BB">
              <w:rPr>
                <w:rFonts w:asciiTheme="minorHAnsi" w:hAnsiTheme="minorHAnsi" w:cstheme="minorHAnsi"/>
                <w:sz w:val="24"/>
                <w:szCs w:val="24"/>
              </w:rPr>
              <w:t>Centre de Santé</w:t>
            </w:r>
            <w:r w:rsidR="00CE2994">
              <w:rPr>
                <w:rFonts w:asciiTheme="minorHAnsi" w:hAnsiTheme="minorHAnsi" w:cstheme="minorHAnsi"/>
                <w:sz w:val="24"/>
                <w:szCs w:val="24"/>
              </w:rPr>
              <w:t xml:space="preserve"> </w:t>
            </w:r>
            <w:r w:rsidRPr="001754BB">
              <w:rPr>
                <w:rFonts w:asciiTheme="minorHAnsi" w:hAnsiTheme="minorHAnsi" w:cstheme="minorHAnsi"/>
                <w:sz w:val="24"/>
                <w:szCs w:val="24"/>
              </w:rPr>
              <w:t>Communautaire</w:t>
            </w:r>
          </w:p>
        </w:tc>
      </w:tr>
      <w:tr w:rsidR="00D54C69" w:rsidRPr="00A929CE" w:rsidTr="0088575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26" w:type="pct"/>
            <w:shd w:val="clear" w:color="auto" w:fill="F2F2F2" w:themeFill="background1" w:themeFillShade="F2"/>
          </w:tcPr>
          <w:p w:rsidR="00D54C69" w:rsidRPr="00B8772C" w:rsidRDefault="00D54C69" w:rsidP="0088575D">
            <w:pPr>
              <w:pStyle w:val="Tbltxt"/>
              <w:shd w:val="clear" w:color="auto" w:fill="DFE3E5" w:themeFill="background2"/>
              <w:spacing w:line="360" w:lineRule="auto"/>
              <w:jc w:val="both"/>
              <w:rPr>
                <w:rFonts w:asciiTheme="minorHAnsi" w:hAnsiTheme="minorHAnsi" w:cstheme="minorHAnsi"/>
                <w:color w:val="auto"/>
                <w:sz w:val="24"/>
                <w:szCs w:val="24"/>
              </w:rPr>
            </w:pPr>
            <w:r w:rsidRPr="00B8772C">
              <w:rPr>
                <w:rFonts w:asciiTheme="minorHAnsi" w:hAnsiTheme="minorHAnsi" w:cstheme="minorHAnsi"/>
                <w:color w:val="auto"/>
                <w:sz w:val="24"/>
                <w:szCs w:val="24"/>
              </w:rPr>
              <w:t>CSCRP</w:t>
            </w:r>
          </w:p>
        </w:tc>
        <w:tc>
          <w:tcPr>
            <w:tcW w:w="3574" w:type="pct"/>
            <w:shd w:val="clear" w:color="auto" w:fill="F2F2F2" w:themeFill="background1" w:themeFillShade="F2"/>
          </w:tcPr>
          <w:p w:rsidR="00D54C69" w:rsidRPr="001754BB" w:rsidRDefault="00D54C69" w:rsidP="0088575D">
            <w:pPr>
              <w:pStyle w:val="Tbltxt"/>
              <w:shd w:val="clear" w:color="auto" w:fill="DFE3E5" w:themeFill="background2"/>
              <w:spacing w:line="360" w:lineRule="auto"/>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4"/>
                <w:szCs w:val="24"/>
              </w:rPr>
            </w:pPr>
            <w:r w:rsidRPr="001754BB">
              <w:rPr>
                <w:rFonts w:asciiTheme="minorHAnsi" w:hAnsiTheme="minorHAnsi" w:cstheme="minorHAnsi"/>
                <w:sz w:val="24"/>
                <w:szCs w:val="24"/>
              </w:rPr>
              <w:t>Cadre</w:t>
            </w:r>
            <w:r w:rsidR="00CE2994">
              <w:rPr>
                <w:rFonts w:asciiTheme="minorHAnsi" w:hAnsiTheme="minorHAnsi" w:cstheme="minorHAnsi"/>
                <w:sz w:val="24"/>
                <w:szCs w:val="24"/>
              </w:rPr>
              <w:t xml:space="preserve"> </w:t>
            </w:r>
            <w:r w:rsidRPr="001754BB">
              <w:rPr>
                <w:rFonts w:asciiTheme="minorHAnsi" w:hAnsiTheme="minorHAnsi" w:cstheme="minorHAnsi"/>
                <w:sz w:val="24"/>
                <w:szCs w:val="24"/>
              </w:rPr>
              <w:t>Stratégique</w:t>
            </w:r>
            <w:r w:rsidR="00CE2994">
              <w:rPr>
                <w:rFonts w:asciiTheme="minorHAnsi" w:hAnsiTheme="minorHAnsi" w:cstheme="minorHAnsi"/>
                <w:sz w:val="24"/>
                <w:szCs w:val="24"/>
              </w:rPr>
              <w:t xml:space="preserve"> </w:t>
            </w:r>
            <w:r w:rsidRPr="001754BB">
              <w:rPr>
                <w:rFonts w:asciiTheme="minorHAnsi" w:hAnsiTheme="minorHAnsi" w:cstheme="minorHAnsi"/>
                <w:sz w:val="24"/>
                <w:szCs w:val="24"/>
              </w:rPr>
              <w:t>pour la Croissance et la Réduction de la Pauvreté</w:t>
            </w:r>
          </w:p>
        </w:tc>
      </w:tr>
      <w:tr w:rsidR="00D54C69" w:rsidRPr="00A929CE" w:rsidTr="0088575D">
        <w:tc>
          <w:tcPr>
            <w:cnfStyle w:val="001000000000" w:firstRow="0" w:lastRow="0" w:firstColumn="1" w:lastColumn="0" w:oddVBand="0" w:evenVBand="0" w:oddHBand="0" w:evenHBand="0" w:firstRowFirstColumn="0" w:firstRowLastColumn="0" w:lastRowFirstColumn="0" w:lastRowLastColumn="0"/>
            <w:tcW w:w="1426" w:type="pct"/>
            <w:shd w:val="clear" w:color="auto" w:fill="F2F2F2" w:themeFill="background1" w:themeFillShade="F2"/>
          </w:tcPr>
          <w:p w:rsidR="00D54C69" w:rsidRPr="00B8772C" w:rsidRDefault="00D54C69" w:rsidP="0088575D">
            <w:pPr>
              <w:pStyle w:val="Tbltxt"/>
              <w:shd w:val="clear" w:color="auto" w:fill="DFE3E5" w:themeFill="background2"/>
              <w:spacing w:line="360" w:lineRule="auto"/>
              <w:jc w:val="both"/>
              <w:rPr>
                <w:rFonts w:asciiTheme="minorHAnsi" w:hAnsiTheme="minorHAnsi" w:cstheme="minorHAnsi"/>
                <w:color w:val="auto"/>
                <w:sz w:val="24"/>
                <w:szCs w:val="24"/>
                <w:lang w:eastAsia="en-US"/>
              </w:rPr>
            </w:pPr>
            <w:r w:rsidRPr="00B8772C">
              <w:rPr>
                <w:rFonts w:asciiTheme="minorHAnsi" w:hAnsiTheme="minorHAnsi" w:cstheme="minorHAnsi"/>
                <w:color w:val="auto"/>
                <w:sz w:val="24"/>
                <w:szCs w:val="24"/>
                <w:lang w:eastAsia="en-US"/>
              </w:rPr>
              <w:t>CSLP</w:t>
            </w:r>
          </w:p>
        </w:tc>
        <w:tc>
          <w:tcPr>
            <w:tcW w:w="3574" w:type="pct"/>
            <w:shd w:val="clear" w:color="auto" w:fill="F2F2F2" w:themeFill="background1" w:themeFillShade="F2"/>
          </w:tcPr>
          <w:p w:rsidR="00D54C69" w:rsidRPr="001754BB" w:rsidRDefault="00D54C69" w:rsidP="0088575D">
            <w:pPr>
              <w:pStyle w:val="Tbltxt"/>
              <w:shd w:val="clear" w:color="auto" w:fill="DFE3E5" w:themeFill="background2"/>
              <w:spacing w:line="360" w:lineRule="auto"/>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4"/>
                <w:szCs w:val="24"/>
                <w:lang w:eastAsia="en-US"/>
              </w:rPr>
            </w:pPr>
            <w:r w:rsidRPr="001754BB">
              <w:rPr>
                <w:rFonts w:asciiTheme="minorHAnsi" w:hAnsiTheme="minorHAnsi" w:cstheme="minorHAnsi"/>
                <w:sz w:val="24"/>
                <w:szCs w:val="24"/>
                <w:lang w:eastAsia="en-US"/>
              </w:rPr>
              <w:t>Cadre</w:t>
            </w:r>
            <w:r w:rsidR="00CE2994">
              <w:rPr>
                <w:rFonts w:asciiTheme="minorHAnsi" w:hAnsiTheme="minorHAnsi" w:cstheme="minorHAnsi"/>
                <w:sz w:val="24"/>
                <w:szCs w:val="24"/>
                <w:lang w:eastAsia="en-US"/>
              </w:rPr>
              <w:t xml:space="preserve"> </w:t>
            </w:r>
            <w:r w:rsidRPr="001754BB">
              <w:rPr>
                <w:rFonts w:asciiTheme="minorHAnsi" w:hAnsiTheme="minorHAnsi" w:cstheme="minorHAnsi"/>
                <w:sz w:val="24"/>
                <w:szCs w:val="24"/>
                <w:lang w:eastAsia="en-US"/>
              </w:rPr>
              <w:t>Stratégique de lutte</w:t>
            </w:r>
            <w:r w:rsidR="00CE2994">
              <w:rPr>
                <w:rFonts w:asciiTheme="minorHAnsi" w:hAnsiTheme="minorHAnsi" w:cstheme="minorHAnsi"/>
                <w:sz w:val="24"/>
                <w:szCs w:val="24"/>
                <w:lang w:eastAsia="en-US"/>
              </w:rPr>
              <w:t xml:space="preserve"> </w:t>
            </w:r>
            <w:r w:rsidRPr="001754BB">
              <w:rPr>
                <w:rFonts w:asciiTheme="minorHAnsi" w:hAnsiTheme="minorHAnsi" w:cstheme="minorHAnsi"/>
                <w:sz w:val="24"/>
                <w:szCs w:val="24"/>
                <w:lang w:eastAsia="en-US"/>
              </w:rPr>
              <w:t>contre la Pauvreté</w:t>
            </w:r>
          </w:p>
        </w:tc>
      </w:tr>
      <w:tr w:rsidR="00D54C69" w:rsidRPr="00A929CE" w:rsidTr="0088575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26" w:type="pct"/>
            <w:shd w:val="clear" w:color="auto" w:fill="F2F2F2" w:themeFill="background1" w:themeFillShade="F2"/>
          </w:tcPr>
          <w:p w:rsidR="00D54C69" w:rsidRPr="00B8772C" w:rsidRDefault="00D54C69" w:rsidP="0088575D">
            <w:pPr>
              <w:pStyle w:val="Tbltxt"/>
              <w:shd w:val="clear" w:color="auto" w:fill="DFE3E5" w:themeFill="background2"/>
              <w:spacing w:line="360" w:lineRule="auto"/>
              <w:jc w:val="both"/>
              <w:rPr>
                <w:rFonts w:asciiTheme="minorHAnsi" w:hAnsiTheme="minorHAnsi" w:cstheme="minorHAnsi"/>
                <w:color w:val="auto"/>
                <w:sz w:val="24"/>
                <w:szCs w:val="24"/>
              </w:rPr>
            </w:pPr>
            <w:r w:rsidRPr="00B8772C">
              <w:rPr>
                <w:rFonts w:asciiTheme="minorHAnsi" w:hAnsiTheme="minorHAnsi" w:cstheme="minorHAnsi"/>
                <w:color w:val="auto"/>
                <w:sz w:val="24"/>
                <w:szCs w:val="24"/>
              </w:rPr>
              <w:t>CT</w:t>
            </w:r>
          </w:p>
        </w:tc>
        <w:tc>
          <w:tcPr>
            <w:tcW w:w="3574" w:type="pct"/>
            <w:shd w:val="clear" w:color="auto" w:fill="F2F2F2" w:themeFill="background1" w:themeFillShade="F2"/>
          </w:tcPr>
          <w:p w:rsidR="00D54C69" w:rsidRPr="001754BB" w:rsidRDefault="00D54C69" w:rsidP="0088575D">
            <w:pPr>
              <w:pStyle w:val="Tbltxt"/>
              <w:shd w:val="clear" w:color="auto" w:fill="DFE3E5" w:themeFill="background2"/>
              <w:spacing w:line="360" w:lineRule="auto"/>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4"/>
                <w:szCs w:val="24"/>
              </w:rPr>
            </w:pPr>
            <w:r w:rsidRPr="001754BB">
              <w:rPr>
                <w:rFonts w:asciiTheme="minorHAnsi" w:hAnsiTheme="minorHAnsi" w:cstheme="minorHAnsi"/>
                <w:sz w:val="24"/>
                <w:szCs w:val="24"/>
              </w:rPr>
              <w:t>Collectivités Territoriales</w:t>
            </w:r>
          </w:p>
        </w:tc>
      </w:tr>
      <w:tr w:rsidR="00D54C69" w:rsidRPr="00A929CE" w:rsidTr="0088575D">
        <w:tc>
          <w:tcPr>
            <w:cnfStyle w:val="001000000000" w:firstRow="0" w:lastRow="0" w:firstColumn="1" w:lastColumn="0" w:oddVBand="0" w:evenVBand="0" w:oddHBand="0" w:evenHBand="0" w:firstRowFirstColumn="0" w:firstRowLastColumn="0" w:lastRowFirstColumn="0" w:lastRowLastColumn="0"/>
            <w:tcW w:w="1426" w:type="pct"/>
            <w:shd w:val="clear" w:color="auto" w:fill="F2F2F2" w:themeFill="background1" w:themeFillShade="F2"/>
          </w:tcPr>
          <w:p w:rsidR="00D54C69" w:rsidRPr="00B8772C" w:rsidRDefault="00D54C69" w:rsidP="0088575D">
            <w:pPr>
              <w:pStyle w:val="Tbltxt"/>
              <w:shd w:val="clear" w:color="auto" w:fill="DFE3E5" w:themeFill="background2"/>
              <w:spacing w:line="360" w:lineRule="auto"/>
              <w:jc w:val="both"/>
              <w:rPr>
                <w:rFonts w:asciiTheme="minorHAnsi" w:hAnsiTheme="minorHAnsi" w:cstheme="minorHAnsi"/>
                <w:color w:val="auto"/>
                <w:sz w:val="24"/>
                <w:szCs w:val="24"/>
                <w:lang w:eastAsia="en-US"/>
              </w:rPr>
            </w:pPr>
            <w:r w:rsidRPr="00B8772C">
              <w:rPr>
                <w:rFonts w:asciiTheme="minorHAnsi" w:hAnsiTheme="minorHAnsi" w:cstheme="minorHAnsi"/>
                <w:color w:val="auto"/>
                <w:sz w:val="24"/>
                <w:szCs w:val="24"/>
                <w:lang w:eastAsia="en-US"/>
              </w:rPr>
              <w:t>CET</w:t>
            </w:r>
          </w:p>
        </w:tc>
        <w:tc>
          <w:tcPr>
            <w:tcW w:w="3574" w:type="pct"/>
            <w:shd w:val="clear" w:color="auto" w:fill="F2F2F2" w:themeFill="background1" w:themeFillShade="F2"/>
          </w:tcPr>
          <w:p w:rsidR="00D54C69" w:rsidRPr="001754BB" w:rsidRDefault="00D54C69" w:rsidP="0088575D">
            <w:pPr>
              <w:pStyle w:val="Tbltxt"/>
              <w:shd w:val="clear" w:color="auto" w:fill="DFE3E5" w:themeFill="background2"/>
              <w:spacing w:line="360" w:lineRule="auto"/>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4"/>
                <w:szCs w:val="24"/>
                <w:lang w:eastAsia="en-US"/>
              </w:rPr>
            </w:pPr>
            <w:r w:rsidRPr="001754BB">
              <w:rPr>
                <w:rFonts w:asciiTheme="minorHAnsi" w:hAnsiTheme="minorHAnsi" w:cstheme="minorHAnsi"/>
                <w:sz w:val="24"/>
                <w:szCs w:val="24"/>
                <w:lang w:eastAsia="en-US"/>
              </w:rPr>
              <w:t>Centre</w:t>
            </w:r>
            <w:r w:rsidR="00CE2994">
              <w:rPr>
                <w:rFonts w:asciiTheme="minorHAnsi" w:hAnsiTheme="minorHAnsi" w:cstheme="minorHAnsi"/>
                <w:sz w:val="24"/>
                <w:szCs w:val="24"/>
                <w:lang w:eastAsia="en-US"/>
              </w:rPr>
              <w:t xml:space="preserve"> </w:t>
            </w:r>
            <w:r w:rsidRPr="001754BB">
              <w:rPr>
                <w:rFonts w:asciiTheme="minorHAnsi" w:hAnsiTheme="minorHAnsi" w:cstheme="minorHAnsi"/>
                <w:sz w:val="24"/>
                <w:szCs w:val="24"/>
                <w:lang w:eastAsia="en-US"/>
              </w:rPr>
              <w:t>d’Enfouillessement</w:t>
            </w:r>
            <w:r w:rsidR="00CE2994">
              <w:rPr>
                <w:rFonts w:asciiTheme="minorHAnsi" w:hAnsiTheme="minorHAnsi" w:cstheme="minorHAnsi"/>
                <w:sz w:val="24"/>
                <w:szCs w:val="24"/>
                <w:lang w:eastAsia="en-US"/>
              </w:rPr>
              <w:t xml:space="preserve"> </w:t>
            </w:r>
            <w:r w:rsidRPr="001754BB">
              <w:rPr>
                <w:rFonts w:asciiTheme="minorHAnsi" w:hAnsiTheme="minorHAnsi" w:cstheme="minorHAnsi"/>
                <w:sz w:val="24"/>
                <w:szCs w:val="24"/>
                <w:lang w:eastAsia="en-US"/>
              </w:rPr>
              <w:t>Technique</w:t>
            </w:r>
          </w:p>
        </w:tc>
      </w:tr>
      <w:tr w:rsidR="00D54C69" w:rsidRPr="00A929CE" w:rsidTr="0088575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26" w:type="pct"/>
            <w:shd w:val="clear" w:color="auto" w:fill="F2F2F2" w:themeFill="background1" w:themeFillShade="F2"/>
          </w:tcPr>
          <w:p w:rsidR="00D54C69" w:rsidRPr="00B8772C" w:rsidRDefault="00D54C69" w:rsidP="0088575D">
            <w:pPr>
              <w:pStyle w:val="Tbltxt"/>
              <w:shd w:val="clear" w:color="auto" w:fill="DFE3E5" w:themeFill="background2"/>
              <w:spacing w:line="360" w:lineRule="auto"/>
              <w:jc w:val="both"/>
              <w:rPr>
                <w:rFonts w:asciiTheme="minorHAnsi" w:hAnsiTheme="minorHAnsi" w:cstheme="minorHAnsi"/>
                <w:color w:val="auto"/>
                <w:sz w:val="24"/>
                <w:szCs w:val="24"/>
              </w:rPr>
            </w:pPr>
            <w:r w:rsidRPr="00B8772C">
              <w:rPr>
                <w:rFonts w:asciiTheme="minorHAnsi" w:hAnsiTheme="minorHAnsi" w:cstheme="minorHAnsi"/>
                <w:color w:val="auto"/>
                <w:sz w:val="24"/>
                <w:szCs w:val="24"/>
                <w:lang w:eastAsia="en-US"/>
              </w:rPr>
              <w:t>DNACPN</w:t>
            </w:r>
          </w:p>
        </w:tc>
        <w:tc>
          <w:tcPr>
            <w:tcW w:w="3574" w:type="pct"/>
            <w:shd w:val="clear" w:color="auto" w:fill="F2F2F2" w:themeFill="background1" w:themeFillShade="F2"/>
          </w:tcPr>
          <w:p w:rsidR="00D54C69" w:rsidRPr="001754BB" w:rsidRDefault="00D54C69" w:rsidP="0088575D">
            <w:pPr>
              <w:pStyle w:val="Tbltxt"/>
              <w:shd w:val="clear" w:color="auto" w:fill="DFE3E5" w:themeFill="background2"/>
              <w:spacing w:line="360" w:lineRule="auto"/>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4"/>
                <w:szCs w:val="24"/>
                <w:lang w:eastAsia="en-US"/>
              </w:rPr>
            </w:pPr>
            <w:r w:rsidRPr="001754BB">
              <w:rPr>
                <w:rFonts w:asciiTheme="minorHAnsi" w:hAnsiTheme="minorHAnsi" w:cstheme="minorHAnsi"/>
                <w:sz w:val="24"/>
                <w:szCs w:val="24"/>
                <w:lang w:eastAsia="en-US"/>
              </w:rPr>
              <w:t>Direction Nationale de l’Assainissement, Contrôle des Pollutions et Nuisances</w:t>
            </w:r>
          </w:p>
        </w:tc>
      </w:tr>
      <w:tr w:rsidR="00D54C69" w:rsidRPr="00A929CE" w:rsidTr="0088575D">
        <w:tc>
          <w:tcPr>
            <w:cnfStyle w:val="001000000000" w:firstRow="0" w:lastRow="0" w:firstColumn="1" w:lastColumn="0" w:oddVBand="0" w:evenVBand="0" w:oddHBand="0" w:evenHBand="0" w:firstRowFirstColumn="0" w:firstRowLastColumn="0" w:lastRowFirstColumn="0" w:lastRowLastColumn="0"/>
            <w:tcW w:w="1426" w:type="pct"/>
            <w:shd w:val="clear" w:color="auto" w:fill="F2F2F2" w:themeFill="background1" w:themeFillShade="F2"/>
          </w:tcPr>
          <w:p w:rsidR="00D54C69" w:rsidRPr="00B8772C" w:rsidRDefault="00D54C69" w:rsidP="0088575D">
            <w:pPr>
              <w:pStyle w:val="Tbltxt"/>
              <w:shd w:val="clear" w:color="auto" w:fill="DFE3E5" w:themeFill="background2"/>
              <w:spacing w:line="360" w:lineRule="auto"/>
              <w:jc w:val="both"/>
              <w:rPr>
                <w:rFonts w:asciiTheme="minorHAnsi" w:hAnsiTheme="minorHAnsi" w:cstheme="minorHAnsi"/>
                <w:color w:val="auto"/>
                <w:sz w:val="24"/>
                <w:szCs w:val="24"/>
              </w:rPr>
            </w:pPr>
            <w:r w:rsidRPr="00B8772C">
              <w:rPr>
                <w:rFonts w:asciiTheme="minorHAnsi" w:hAnsiTheme="minorHAnsi" w:cstheme="minorHAnsi"/>
                <w:color w:val="auto"/>
                <w:sz w:val="24"/>
                <w:szCs w:val="24"/>
              </w:rPr>
              <w:t xml:space="preserve">DNCT </w:t>
            </w:r>
          </w:p>
        </w:tc>
        <w:tc>
          <w:tcPr>
            <w:tcW w:w="3574" w:type="pct"/>
            <w:shd w:val="clear" w:color="auto" w:fill="F2F2F2" w:themeFill="background1" w:themeFillShade="F2"/>
          </w:tcPr>
          <w:p w:rsidR="00D54C69" w:rsidRPr="001754BB" w:rsidRDefault="00D54C69" w:rsidP="0088575D">
            <w:pPr>
              <w:pStyle w:val="Tbltxt"/>
              <w:shd w:val="clear" w:color="auto" w:fill="DFE3E5" w:themeFill="background2"/>
              <w:spacing w:line="360" w:lineRule="auto"/>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4"/>
                <w:szCs w:val="24"/>
              </w:rPr>
            </w:pPr>
            <w:r w:rsidRPr="001754BB">
              <w:rPr>
                <w:rFonts w:asciiTheme="minorHAnsi" w:hAnsiTheme="minorHAnsi" w:cstheme="minorHAnsi"/>
                <w:sz w:val="24"/>
                <w:szCs w:val="24"/>
              </w:rPr>
              <w:t>Direction Nationale des Collectivités Territoriales</w:t>
            </w:r>
          </w:p>
        </w:tc>
      </w:tr>
      <w:tr w:rsidR="00D54C69" w:rsidRPr="00A929CE" w:rsidTr="0088575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26" w:type="pct"/>
            <w:shd w:val="clear" w:color="auto" w:fill="F2F2F2" w:themeFill="background1" w:themeFillShade="F2"/>
          </w:tcPr>
          <w:p w:rsidR="00D54C69" w:rsidRPr="00B8772C" w:rsidRDefault="00D54C69" w:rsidP="0088575D">
            <w:pPr>
              <w:pStyle w:val="Tbltxt"/>
              <w:shd w:val="clear" w:color="auto" w:fill="DFE3E5" w:themeFill="background2"/>
              <w:spacing w:line="360" w:lineRule="auto"/>
              <w:jc w:val="both"/>
              <w:rPr>
                <w:rFonts w:asciiTheme="minorHAnsi" w:hAnsiTheme="minorHAnsi" w:cstheme="minorHAnsi"/>
                <w:color w:val="auto"/>
                <w:sz w:val="24"/>
                <w:szCs w:val="24"/>
              </w:rPr>
            </w:pPr>
            <w:r w:rsidRPr="00B8772C">
              <w:rPr>
                <w:rFonts w:asciiTheme="minorHAnsi" w:hAnsiTheme="minorHAnsi" w:cstheme="minorHAnsi"/>
                <w:color w:val="auto"/>
                <w:sz w:val="24"/>
                <w:szCs w:val="24"/>
                <w:lang w:eastAsia="en-US"/>
              </w:rPr>
              <w:t>DNH</w:t>
            </w:r>
          </w:p>
        </w:tc>
        <w:tc>
          <w:tcPr>
            <w:tcW w:w="3574" w:type="pct"/>
            <w:shd w:val="clear" w:color="auto" w:fill="F2F2F2" w:themeFill="background1" w:themeFillShade="F2"/>
          </w:tcPr>
          <w:p w:rsidR="00D54C69" w:rsidRPr="001754BB" w:rsidRDefault="00D54C69" w:rsidP="0088575D">
            <w:pPr>
              <w:pStyle w:val="Tbltxt"/>
              <w:shd w:val="clear" w:color="auto" w:fill="DFE3E5" w:themeFill="background2"/>
              <w:spacing w:line="360" w:lineRule="auto"/>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4"/>
                <w:szCs w:val="24"/>
                <w:lang w:eastAsia="en-US"/>
              </w:rPr>
            </w:pPr>
            <w:r w:rsidRPr="001754BB">
              <w:rPr>
                <w:rFonts w:asciiTheme="minorHAnsi" w:hAnsiTheme="minorHAnsi" w:cstheme="minorHAnsi"/>
                <w:sz w:val="24"/>
                <w:szCs w:val="24"/>
                <w:lang w:eastAsia="en-US"/>
              </w:rPr>
              <w:t>Direction Nationale de l’Hydraulique</w:t>
            </w:r>
          </w:p>
        </w:tc>
      </w:tr>
      <w:tr w:rsidR="00D54C69" w:rsidRPr="00A929CE" w:rsidTr="0088575D">
        <w:tc>
          <w:tcPr>
            <w:cnfStyle w:val="001000000000" w:firstRow="0" w:lastRow="0" w:firstColumn="1" w:lastColumn="0" w:oddVBand="0" w:evenVBand="0" w:oddHBand="0" w:evenHBand="0" w:firstRowFirstColumn="0" w:firstRowLastColumn="0" w:lastRowFirstColumn="0" w:lastRowLastColumn="0"/>
            <w:tcW w:w="1426" w:type="pct"/>
            <w:shd w:val="clear" w:color="auto" w:fill="F2F2F2" w:themeFill="background1" w:themeFillShade="F2"/>
          </w:tcPr>
          <w:p w:rsidR="00D54C69" w:rsidRPr="00B8772C" w:rsidRDefault="00D54C69" w:rsidP="0088575D">
            <w:pPr>
              <w:pStyle w:val="Tbltxt"/>
              <w:shd w:val="clear" w:color="auto" w:fill="DFE3E5" w:themeFill="background2"/>
              <w:spacing w:line="360" w:lineRule="auto"/>
              <w:jc w:val="both"/>
              <w:rPr>
                <w:rFonts w:asciiTheme="minorHAnsi" w:hAnsiTheme="minorHAnsi" w:cstheme="minorHAnsi"/>
                <w:color w:val="auto"/>
                <w:sz w:val="24"/>
                <w:szCs w:val="24"/>
              </w:rPr>
            </w:pPr>
            <w:r w:rsidRPr="00B8772C">
              <w:rPr>
                <w:rFonts w:asciiTheme="minorHAnsi" w:hAnsiTheme="minorHAnsi" w:cstheme="minorHAnsi"/>
                <w:color w:val="auto"/>
                <w:sz w:val="24"/>
                <w:szCs w:val="24"/>
              </w:rPr>
              <w:t>DNS</w:t>
            </w:r>
          </w:p>
        </w:tc>
        <w:tc>
          <w:tcPr>
            <w:tcW w:w="3574" w:type="pct"/>
            <w:shd w:val="clear" w:color="auto" w:fill="F2F2F2" w:themeFill="background1" w:themeFillShade="F2"/>
          </w:tcPr>
          <w:p w:rsidR="00D54C69" w:rsidRPr="001754BB" w:rsidRDefault="00D54C69" w:rsidP="0088575D">
            <w:pPr>
              <w:pStyle w:val="Tbltxt"/>
              <w:shd w:val="clear" w:color="auto" w:fill="DFE3E5" w:themeFill="background2"/>
              <w:spacing w:line="360" w:lineRule="auto"/>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4"/>
                <w:szCs w:val="24"/>
              </w:rPr>
            </w:pPr>
            <w:r w:rsidRPr="001754BB">
              <w:rPr>
                <w:rFonts w:asciiTheme="minorHAnsi" w:hAnsiTheme="minorHAnsi" w:cstheme="minorHAnsi"/>
                <w:sz w:val="24"/>
                <w:szCs w:val="24"/>
              </w:rPr>
              <w:t>Direction Nationale de la Santé</w:t>
            </w:r>
          </w:p>
        </w:tc>
      </w:tr>
      <w:tr w:rsidR="00D54C69" w:rsidRPr="00A929CE" w:rsidTr="0088575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26" w:type="pct"/>
            <w:shd w:val="clear" w:color="auto" w:fill="F2F2F2" w:themeFill="background1" w:themeFillShade="F2"/>
          </w:tcPr>
          <w:p w:rsidR="00D54C69" w:rsidRPr="00B8772C" w:rsidRDefault="00D54C69" w:rsidP="0088575D">
            <w:pPr>
              <w:pStyle w:val="Tbltxt"/>
              <w:shd w:val="clear" w:color="auto" w:fill="DFE3E5" w:themeFill="background2"/>
              <w:spacing w:line="360" w:lineRule="auto"/>
              <w:jc w:val="both"/>
              <w:rPr>
                <w:rFonts w:asciiTheme="minorHAnsi" w:hAnsiTheme="minorHAnsi" w:cstheme="minorHAnsi"/>
                <w:color w:val="auto"/>
                <w:sz w:val="24"/>
                <w:szCs w:val="24"/>
              </w:rPr>
            </w:pPr>
            <w:r w:rsidRPr="00B8772C">
              <w:rPr>
                <w:rFonts w:asciiTheme="minorHAnsi" w:hAnsiTheme="minorHAnsi" w:cstheme="minorHAnsi"/>
                <w:color w:val="auto"/>
                <w:sz w:val="24"/>
                <w:szCs w:val="24"/>
              </w:rPr>
              <w:t>DNSI</w:t>
            </w:r>
          </w:p>
        </w:tc>
        <w:tc>
          <w:tcPr>
            <w:tcW w:w="3574" w:type="pct"/>
            <w:shd w:val="clear" w:color="auto" w:fill="F2F2F2" w:themeFill="background1" w:themeFillShade="F2"/>
          </w:tcPr>
          <w:p w:rsidR="00D54C69" w:rsidRPr="001754BB" w:rsidRDefault="00D54C69" w:rsidP="0088575D">
            <w:pPr>
              <w:pStyle w:val="Tbltxt"/>
              <w:shd w:val="clear" w:color="auto" w:fill="DFE3E5" w:themeFill="background2"/>
              <w:spacing w:line="360" w:lineRule="auto"/>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4"/>
                <w:szCs w:val="24"/>
              </w:rPr>
            </w:pPr>
            <w:r w:rsidRPr="001754BB">
              <w:rPr>
                <w:rFonts w:asciiTheme="minorHAnsi" w:hAnsiTheme="minorHAnsi" w:cstheme="minorHAnsi"/>
                <w:sz w:val="24"/>
                <w:szCs w:val="24"/>
              </w:rPr>
              <w:t>Direction Nationale de la Statistique et de l'Informatique</w:t>
            </w:r>
          </w:p>
        </w:tc>
      </w:tr>
      <w:tr w:rsidR="00D54C69" w:rsidRPr="00A929CE" w:rsidTr="0088575D">
        <w:tc>
          <w:tcPr>
            <w:cnfStyle w:val="001000000000" w:firstRow="0" w:lastRow="0" w:firstColumn="1" w:lastColumn="0" w:oddVBand="0" w:evenVBand="0" w:oddHBand="0" w:evenHBand="0" w:firstRowFirstColumn="0" w:firstRowLastColumn="0" w:lastRowFirstColumn="0" w:lastRowLastColumn="0"/>
            <w:tcW w:w="1426" w:type="pct"/>
            <w:shd w:val="clear" w:color="auto" w:fill="F2F2F2" w:themeFill="background1" w:themeFillShade="F2"/>
          </w:tcPr>
          <w:p w:rsidR="00D54C69" w:rsidRPr="00B8772C" w:rsidRDefault="00D54C69" w:rsidP="0088575D">
            <w:pPr>
              <w:pStyle w:val="Tbltxt"/>
              <w:shd w:val="clear" w:color="auto" w:fill="DFE3E5" w:themeFill="background2"/>
              <w:spacing w:line="360" w:lineRule="auto"/>
              <w:jc w:val="both"/>
              <w:rPr>
                <w:rFonts w:asciiTheme="minorHAnsi" w:hAnsiTheme="minorHAnsi" w:cstheme="minorHAnsi"/>
                <w:color w:val="auto"/>
                <w:sz w:val="24"/>
                <w:szCs w:val="24"/>
              </w:rPr>
            </w:pPr>
            <w:r w:rsidRPr="00B8772C">
              <w:rPr>
                <w:rFonts w:asciiTheme="minorHAnsi" w:hAnsiTheme="minorHAnsi" w:cstheme="minorHAnsi"/>
                <w:color w:val="auto"/>
                <w:sz w:val="24"/>
                <w:szCs w:val="24"/>
              </w:rPr>
              <w:t>DRACPN</w:t>
            </w:r>
          </w:p>
        </w:tc>
        <w:tc>
          <w:tcPr>
            <w:tcW w:w="3574" w:type="pct"/>
            <w:shd w:val="clear" w:color="auto" w:fill="F2F2F2" w:themeFill="background1" w:themeFillShade="F2"/>
          </w:tcPr>
          <w:p w:rsidR="00D54C69" w:rsidRPr="001754BB" w:rsidRDefault="00D54C69" w:rsidP="0088575D">
            <w:pPr>
              <w:pStyle w:val="Tbltxt"/>
              <w:shd w:val="clear" w:color="auto" w:fill="DFE3E5" w:themeFill="background2"/>
              <w:spacing w:line="360" w:lineRule="auto"/>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4"/>
                <w:szCs w:val="24"/>
              </w:rPr>
            </w:pPr>
            <w:r w:rsidRPr="001754BB">
              <w:rPr>
                <w:rFonts w:asciiTheme="minorHAnsi" w:hAnsiTheme="minorHAnsi" w:cstheme="minorHAnsi"/>
                <w:sz w:val="24"/>
                <w:szCs w:val="24"/>
              </w:rPr>
              <w:t>Direction</w:t>
            </w:r>
            <w:r w:rsidR="00CE2994">
              <w:rPr>
                <w:rFonts w:asciiTheme="minorHAnsi" w:hAnsiTheme="minorHAnsi" w:cstheme="minorHAnsi"/>
                <w:sz w:val="24"/>
                <w:szCs w:val="24"/>
              </w:rPr>
              <w:t xml:space="preserve"> </w:t>
            </w:r>
            <w:r w:rsidRPr="001754BB">
              <w:rPr>
                <w:rFonts w:asciiTheme="minorHAnsi" w:hAnsiTheme="minorHAnsi" w:cstheme="minorHAnsi"/>
                <w:sz w:val="24"/>
                <w:szCs w:val="24"/>
              </w:rPr>
              <w:t>Régionale</w:t>
            </w:r>
            <w:r w:rsidR="00CE2994">
              <w:rPr>
                <w:rFonts w:asciiTheme="minorHAnsi" w:hAnsiTheme="minorHAnsi" w:cstheme="minorHAnsi"/>
                <w:sz w:val="24"/>
                <w:szCs w:val="24"/>
              </w:rPr>
              <w:t xml:space="preserve"> </w:t>
            </w:r>
            <w:r w:rsidRPr="001754BB">
              <w:rPr>
                <w:rFonts w:asciiTheme="minorHAnsi" w:eastAsia="Times New Roman" w:hAnsiTheme="minorHAnsi" w:cstheme="minorHAnsi"/>
                <w:sz w:val="24"/>
                <w:szCs w:val="24"/>
                <w:lang w:eastAsia="en-US"/>
              </w:rPr>
              <w:t>de</w:t>
            </w:r>
            <w:r w:rsidR="00CE2994">
              <w:rPr>
                <w:rFonts w:asciiTheme="minorHAnsi" w:eastAsia="Times New Roman" w:hAnsiTheme="minorHAnsi" w:cstheme="minorHAnsi"/>
                <w:sz w:val="24"/>
                <w:szCs w:val="24"/>
                <w:lang w:eastAsia="en-US"/>
              </w:rPr>
              <w:t xml:space="preserve"> </w:t>
            </w:r>
            <w:r w:rsidRPr="001754BB">
              <w:rPr>
                <w:rFonts w:asciiTheme="minorHAnsi" w:eastAsia="Times New Roman" w:hAnsiTheme="minorHAnsi" w:cstheme="minorHAnsi"/>
                <w:sz w:val="24"/>
                <w:szCs w:val="24"/>
                <w:lang w:eastAsia="en-US"/>
              </w:rPr>
              <w:t>l’Assainissement et du Contrôle des Pollutions et des Nuisances</w:t>
            </w:r>
          </w:p>
        </w:tc>
      </w:tr>
      <w:tr w:rsidR="00D54C69" w:rsidRPr="00A929CE" w:rsidTr="0088575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26" w:type="pct"/>
            <w:shd w:val="clear" w:color="auto" w:fill="F2F2F2" w:themeFill="background1" w:themeFillShade="F2"/>
          </w:tcPr>
          <w:p w:rsidR="00D54C69" w:rsidRPr="00B8772C" w:rsidRDefault="00D54C69" w:rsidP="0088575D">
            <w:pPr>
              <w:pStyle w:val="Tbltxt"/>
              <w:shd w:val="clear" w:color="auto" w:fill="DFE3E5" w:themeFill="background2"/>
              <w:spacing w:line="360" w:lineRule="auto"/>
              <w:jc w:val="both"/>
              <w:rPr>
                <w:rFonts w:asciiTheme="minorHAnsi" w:hAnsiTheme="minorHAnsi" w:cstheme="minorHAnsi"/>
                <w:color w:val="auto"/>
                <w:sz w:val="24"/>
                <w:szCs w:val="24"/>
              </w:rPr>
            </w:pPr>
            <w:r w:rsidRPr="00B8772C">
              <w:rPr>
                <w:rFonts w:asciiTheme="minorHAnsi" w:hAnsiTheme="minorHAnsi" w:cstheme="minorHAnsi"/>
                <w:color w:val="auto"/>
                <w:sz w:val="24"/>
                <w:szCs w:val="24"/>
              </w:rPr>
              <w:t>DRH</w:t>
            </w:r>
          </w:p>
        </w:tc>
        <w:tc>
          <w:tcPr>
            <w:tcW w:w="3574" w:type="pct"/>
            <w:shd w:val="clear" w:color="auto" w:fill="F2F2F2" w:themeFill="background1" w:themeFillShade="F2"/>
          </w:tcPr>
          <w:p w:rsidR="00D54C69" w:rsidRPr="001754BB" w:rsidRDefault="00D54C69" w:rsidP="0088575D">
            <w:pPr>
              <w:pStyle w:val="Tbltxt"/>
              <w:shd w:val="clear" w:color="auto" w:fill="DFE3E5" w:themeFill="background2"/>
              <w:spacing w:line="360" w:lineRule="auto"/>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4"/>
                <w:szCs w:val="24"/>
              </w:rPr>
            </w:pPr>
            <w:r w:rsidRPr="001754BB">
              <w:rPr>
                <w:rFonts w:asciiTheme="minorHAnsi" w:hAnsiTheme="minorHAnsi" w:cstheme="minorHAnsi"/>
                <w:sz w:val="24"/>
                <w:szCs w:val="24"/>
              </w:rPr>
              <w:t>Direction</w:t>
            </w:r>
            <w:r w:rsidR="00CE2994">
              <w:rPr>
                <w:rFonts w:asciiTheme="minorHAnsi" w:hAnsiTheme="minorHAnsi" w:cstheme="minorHAnsi"/>
                <w:sz w:val="24"/>
                <w:szCs w:val="24"/>
              </w:rPr>
              <w:t xml:space="preserve"> </w:t>
            </w:r>
            <w:r w:rsidRPr="001754BB">
              <w:rPr>
                <w:rFonts w:asciiTheme="minorHAnsi" w:hAnsiTheme="minorHAnsi" w:cstheme="minorHAnsi"/>
                <w:sz w:val="24"/>
                <w:szCs w:val="24"/>
              </w:rPr>
              <w:t>Régionale de l'Hydraulique</w:t>
            </w:r>
          </w:p>
        </w:tc>
      </w:tr>
      <w:tr w:rsidR="00D54C69" w:rsidRPr="00A929CE" w:rsidTr="0088575D">
        <w:tc>
          <w:tcPr>
            <w:cnfStyle w:val="001000000000" w:firstRow="0" w:lastRow="0" w:firstColumn="1" w:lastColumn="0" w:oddVBand="0" w:evenVBand="0" w:oddHBand="0" w:evenHBand="0" w:firstRowFirstColumn="0" w:firstRowLastColumn="0" w:lastRowFirstColumn="0" w:lastRowLastColumn="0"/>
            <w:tcW w:w="1426" w:type="pct"/>
            <w:shd w:val="clear" w:color="auto" w:fill="F2F2F2" w:themeFill="background1" w:themeFillShade="F2"/>
          </w:tcPr>
          <w:p w:rsidR="00D54C69" w:rsidRPr="00B8772C" w:rsidRDefault="00D54C69" w:rsidP="0088575D">
            <w:pPr>
              <w:pStyle w:val="Tbltxt"/>
              <w:shd w:val="clear" w:color="auto" w:fill="DFE3E5" w:themeFill="background2"/>
              <w:spacing w:line="360" w:lineRule="auto"/>
              <w:jc w:val="both"/>
              <w:rPr>
                <w:rFonts w:asciiTheme="minorHAnsi" w:hAnsiTheme="minorHAnsi" w:cstheme="minorHAnsi"/>
                <w:color w:val="auto"/>
                <w:sz w:val="24"/>
                <w:szCs w:val="24"/>
              </w:rPr>
            </w:pPr>
            <w:r w:rsidRPr="00B8772C">
              <w:rPr>
                <w:rFonts w:asciiTheme="minorHAnsi" w:hAnsiTheme="minorHAnsi" w:cstheme="minorHAnsi"/>
                <w:color w:val="auto"/>
                <w:sz w:val="24"/>
                <w:szCs w:val="24"/>
              </w:rPr>
              <w:t>DRS</w:t>
            </w:r>
          </w:p>
        </w:tc>
        <w:tc>
          <w:tcPr>
            <w:tcW w:w="3574" w:type="pct"/>
            <w:shd w:val="clear" w:color="auto" w:fill="F2F2F2" w:themeFill="background1" w:themeFillShade="F2"/>
          </w:tcPr>
          <w:p w:rsidR="00D54C69" w:rsidRPr="001754BB" w:rsidRDefault="00D54C69" w:rsidP="0088575D">
            <w:pPr>
              <w:pStyle w:val="Tbltxt"/>
              <w:shd w:val="clear" w:color="auto" w:fill="DFE3E5" w:themeFill="background2"/>
              <w:spacing w:line="360" w:lineRule="auto"/>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4"/>
                <w:szCs w:val="24"/>
              </w:rPr>
            </w:pPr>
            <w:r w:rsidRPr="001754BB">
              <w:rPr>
                <w:rFonts w:asciiTheme="minorHAnsi" w:hAnsiTheme="minorHAnsi" w:cstheme="minorHAnsi"/>
                <w:sz w:val="24"/>
                <w:szCs w:val="24"/>
              </w:rPr>
              <w:t>Direction</w:t>
            </w:r>
            <w:r w:rsidR="00CE2994">
              <w:rPr>
                <w:rFonts w:asciiTheme="minorHAnsi" w:hAnsiTheme="minorHAnsi" w:cstheme="minorHAnsi"/>
                <w:sz w:val="24"/>
                <w:szCs w:val="24"/>
              </w:rPr>
              <w:t xml:space="preserve"> </w:t>
            </w:r>
            <w:r w:rsidRPr="001754BB">
              <w:rPr>
                <w:rFonts w:asciiTheme="minorHAnsi" w:hAnsiTheme="minorHAnsi" w:cstheme="minorHAnsi"/>
                <w:sz w:val="24"/>
                <w:szCs w:val="24"/>
              </w:rPr>
              <w:t>Régionale de la Santé</w:t>
            </w:r>
          </w:p>
        </w:tc>
      </w:tr>
      <w:tr w:rsidR="00D54C69" w:rsidRPr="00A929CE" w:rsidTr="0088575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26" w:type="pct"/>
            <w:shd w:val="clear" w:color="auto" w:fill="F2F2F2" w:themeFill="background1" w:themeFillShade="F2"/>
          </w:tcPr>
          <w:p w:rsidR="00D54C69" w:rsidRPr="00B8772C" w:rsidRDefault="00D54C69" w:rsidP="0088575D">
            <w:pPr>
              <w:pStyle w:val="Tbltxt"/>
              <w:shd w:val="clear" w:color="auto" w:fill="DFE3E5" w:themeFill="background2"/>
              <w:spacing w:line="360" w:lineRule="auto"/>
              <w:jc w:val="both"/>
              <w:rPr>
                <w:rFonts w:asciiTheme="minorHAnsi" w:hAnsiTheme="minorHAnsi" w:cstheme="minorHAnsi"/>
                <w:color w:val="auto"/>
                <w:sz w:val="24"/>
                <w:szCs w:val="24"/>
              </w:rPr>
            </w:pPr>
            <w:r w:rsidRPr="00B8772C">
              <w:rPr>
                <w:rFonts w:asciiTheme="minorHAnsi" w:hAnsiTheme="minorHAnsi" w:cstheme="minorHAnsi"/>
                <w:color w:val="auto"/>
                <w:sz w:val="24"/>
                <w:szCs w:val="24"/>
              </w:rPr>
              <w:t xml:space="preserve">DSRP </w:t>
            </w:r>
          </w:p>
        </w:tc>
        <w:tc>
          <w:tcPr>
            <w:tcW w:w="3574" w:type="pct"/>
            <w:shd w:val="clear" w:color="auto" w:fill="F2F2F2" w:themeFill="background1" w:themeFillShade="F2"/>
          </w:tcPr>
          <w:p w:rsidR="00D54C69" w:rsidRPr="001754BB" w:rsidRDefault="00D54C69" w:rsidP="0088575D">
            <w:pPr>
              <w:pStyle w:val="Tbltxt"/>
              <w:shd w:val="clear" w:color="auto" w:fill="DFE3E5" w:themeFill="background2"/>
              <w:spacing w:line="360" w:lineRule="auto"/>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4"/>
                <w:szCs w:val="24"/>
              </w:rPr>
            </w:pPr>
            <w:r w:rsidRPr="001754BB">
              <w:rPr>
                <w:rFonts w:asciiTheme="minorHAnsi" w:hAnsiTheme="minorHAnsi" w:cstheme="minorHAnsi"/>
                <w:sz w:val="24"/>
                <w:szCs w:val="24"/>
              </w:rPr>
              <w:t>Document de stratégie de réduction de la pauvreté</w:t>
            </w:r>
          </w:p>
        </w:tc>
      </w:tr>
      <w:tr w:rsidR="00D54C69" w:rsidRPr="00A929CE" w:rsidDel="00706F54" w:rsidTr="0088575D">
        <w:tc>
          <w:tcPr>
            <w:cnfStyle w:val="001000000000" w:firstRow="0" w:lastRow="0" w:firstColumn="1" w:lastColumn="0" w:oddVBand="0" w:evenVBand="0" w:oddHBand="0" w:evenHBand="0" w:firstRowFirstColumn="0" w:firstRowLastColumn="0" w:lastRowFirstColumn="0" w:lastRowLastColumn="0"/>
            <w:tcW w:w="1426" w:type="pct"/>
            <w:shd w:val="clear" w:color="auto" w:fill="F2F2F2" w:themeFill="background1" w:themeFillShade="F2"/>
          </w:tcPr>
          <w:p w:rsidR="00D54C69" w:rsidRPr="00B8772C" w:rsidRDefault="00D54C69" w:rsidP="0088575D">
            <w:pPr>
              <w:pStyle w:val="Tbltxt"/>
              <w:shd w:val="clear" w:color="auto" w:fill="DFE3E5" w:themeFill="background2"/>
              <w:spacing w:line="360" w:lineRule="auto"/>
              <w:jc w:val="both"/>
              <w:rPr>
                <w:rFonts w:asciiTheme="minorHAnsi" w:hAnsiTheme="minorHAnsi" w:cstheme="minorHAnsi"/>
                <w:color w:val="auto"/>
                <w:sz w:val="24"/>
                <w:szCs w:val="24"/>
                <w:lang w:eastAsia="en-US"/>
              </w:rPr>
            </w:pPr>
            <w:r w:rsidRPr="00B8772C">
              <w:rPr>
                <w:rFonts w:asciiTheme="minorHAnsi" w:hAnsiTheme="minorHAnsi" w:cstheme="minorHAnsi"/>
                <w:color w:val="auto"/>
                <w:sz w:val="24"/>
                <w:szCs w:val="24"/>
                <w:lang w:eastAsia="en-US"/>
              </w:rPr>
              <w:t>ENAP</w:t>
            </w:r>
          </w:p>
        </w:tc>
        <w:tc>
          <w:tcPr>
            <w:tcW w:w="3574" w:type="pct"/>
            <w:shd w:val="clear" w:color="auto" w:fill="F2F2F2" w:themeFill="background1" w:themeFillShade="F2"/>
          </w:tcPr>
          <w:p w:rsidR="00D54C69" w:rsidRPr="001754BB" w:rsidRDefault="00D54C69" w:rsidP="0088575D">
            <w:pPr>
              <w:pStyle w:val="Tbltxt"/>
              <w:shd w:val="clear" w:color="auto" w:fill="DFE3E5" w:themeFill="background2"/>
              <w:spacing w:line="360" w:lineRule="auto"/>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4"/>
                <w:szCs w:val="24"/>
                <w:lang w:eastAsia="en-US"/>
              </w:rPr>
            </w:pPr>
            <w:r w:rsidRPr="001754BB">
              <w:rPr>
                <w:rFonts w:asciiTheme="minorHAnsi" w:hAnsiTheme="minorHAnsi" w:cstheme="minorHAnsi"/>
                <w:color w:val="000000"/>
                <w:sz w:val="24"/>
                <w:szCs w:val="24"/>
              </w:rPr>
              <w:t>Enquête Nationale Assainissement et Pollution</w:t>
            </w:r>
          </w:p>
        </w:tc>
      </w:tr>
      <w:tr w:rsidR="00D54C69" w:rsidRPr="00A929CE" w:rsidDel="00706F54" w:rsidTr="0088575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26" w:type="pct"/>
            <w:shd w:val="clear" w:color="auto" w:fill="F2F2F2" w:themeFill="background1" w:themeFillShade="F2"/>
          </w:tcPr>
          <w:p w:rsidR="00D54C69" w:rsidRPr="00B8772C" w:rsidDel="00706F54" w:rsidRDefault="00D54C69" w:rsidP="0088575D">
            <w:pPr>
              <w:pStyle w:val="Tbltxt"/>
              <w:shd w:val="clear" w:color="auto" w:fill="DFE3E5" w:themeFill="background2"/>
              <w:spacing w:line="360" w:lineRule="auto"/>
              <w:jc w:val="both"/>
              <w:rPr>
                <w:rFonts w:asciiTheme="minorHAnsi" w:hAnsiTheme="minorHAnsi" w:cstheme="minorHAnsi"/>
                <w:color w:val="auto"/>
                <w:sz w:val="24"/>
                <w:szCs w:val="24"/>
              </w:rPr>
            </w:pPr>
            <w:r w:rsidRPr="00B8772C">
              <w:rPr>
                <w:rFonts w:asciiTheme="minorHAnsi" w:hAnsiTheme="minorHAnsi" w:cstheme="minorHAnsi"/>
                <w:color w:val="auto"/>
                <w:sz w:val="24"/>
                <w:szCs w:val="24"/>
                <w:lang w:eastAsia="en-US"/>
              </w:rPr>
              <w:t>EUE</w:t>
            </w:r>
          </w:p>
        </w:tc>
        <w:tc>
          <w:tcPr>
            <w:tcW w:w="3574" w:type="pct"/>
            <w:shd w:val="clear" w:color="auto" w:fill="F2F2F2" w:themeFill="background1" w:themeFillShade="F2"/>
          </w:tcPr>
          <w:p w:rsidR="00D54C69" w:rsidRPr="001754BB" w:rsidDel="00706F54" w:rsidRDefault="00D54C69" w:rsidP="0088575D">
            <w:pPr>
              <w:pStyle w:val="Tbltxt"/>
              <w:shd w:val="clear" w:color="auto" w:fill="DFE3E5" w:themeFill="background2"/>
              <w:spacing w:line="360" w:lineRule="auto"/>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4"/>
                <w:szCs w:val="24"/>
                <w:lang w:eastAsia="en-US"/>
              </w:rPr>
            </w:pPr>
            <w:r w:rsidRPr="001754BB">
              <w:rPr>
                <w:rFonts w:asciiTheme="minorHAnsi" w:hAnsiTheme="minorHAnsi" w:cstheme="minorHAnsi"/>
                <w:sz w:val="24"/>
                <w:szCs w:val="24"/>
                <w:lang w:eastAsia="en-US"/>
              </w:rPr>
              <w:t>Eaux</w:t>
            </w:r>
            <w:r w:rsidR="00CE2994">
              <w:rPr>
                <w:rFonts w:asciiTheme="minorHAnsi" w:hAnsiTheme="minorHAnsi" w:cstheme="minorHAnsi"/>
                <w:sz w:val="24"/>
                <w:szCs w:val="24"/>
                <w:lang w:eastAsia="en-US"/>
              </w:rPr>
              <w:t xml:space="preserve"> </w:t>
            </w:r>
            <w:r w:rsidRPr="001754BB">
              <w:rPr>
                <w:rFonts w:asciiTheme="minorHAnsi" w:hAnsiTheme="minorHAnsi" w:cstheme="minorHAnsi"/>
                <w:sz w:val="24"/>
                <w:szCs w:val="24"/>
                <w:lang w:eastAsia="en-US"/>
              </w:rPr>
              <w:t>Usées et Excrétas</w:t>
            </w:r>
          </w:p>
        </w:tc>
      </w:tr>
      <w:tr w:rsidR="00D54C69" w:rsidRPr="00A929CE" w:rsidTr="0088575D">
        <w:tc>
          <w:tcPr>
            <w:cnfStyle w:val="001000000000" w:firstRow="0" w:lastRow="0" w:firstColumn="1" w:lastColumn="0" w:oddVBand="0" w:evenVBand="0" w:oddHBand="0" w:evenHBand="0" w:firstRowFirstColumn="0" w:firstRowLastColumn="0" w:lastRowFirstColumn="0" w:lastRowLastColumn="0"/>
            <w:tcW w:w="1426" w:type="pct"/>
            <w:shd w:val="clear" w:color="auto" w:fill="F2F2F2" w:themeFill="background1" w:themeFillShade="F2"/>
          </w:tcPr>
          <w:p w:rsidR="00D54C69" w:rsidRPr="00B8772C" w:rsidRDefault="00D54C69" w:rsidP="0088575D">
            <w:pPr>
              <w:pStyle w:val="Tbltxt"/>
              <w:shd w:val="clear" w:color="auto" w:fill="DFE3E5" w:themeFill="background2"/>
              <w:spacing w:line="360" w:lineRule="auto"/>
              <w:jc w:val="both"/>
              <w:rPr>
                <w:rFonts w:asciiTheme="minorHAnsi" w:hAnsiTheme="minorHAnsi" w:cstheme="minorHAnsi"/>
                <w:color w:val="auto"/>
                <w:sz w:val="24"/>
                <w:szCs w:val="24"/>
              </w:rPr>
            </w:pPr>
            <w:r w:rsidRPr="00B8772C">
              <w:rPr>
                <w:rFonts w:asciiTheme="minorHAnsi" w:hAnsiTheme="minorHAnsi" w:cstheme="minorHAnsi"/>
                <w:color w:val="auto"/>
                <w:sz w:val="24"/>
                <w:szCs w:val="24"/>
              </w:rPr>
              <w:t>GIE</w:t>
            </w:r>
          </w:p>
        </w:tc>
        <w:tc>
          <w:tcPr>
            <w:tcW w:w="3574" w:type="pct"/>
            <w:shd w:val="clear" w:color="auto" w:fill="F2F2F2" w:themeFill="background1" w:themeFillShade="F2"/>
          </w:tcPr>
          <w:p w:rsidR="00D54C69" w:rsidRPr="001754BB" w:rsidRDefault="00D54C69" w:rsidP="0088575D">
            <w:pPr>
              <w:pStyle w:val="Tbltxt"/>
              <w:shd w:val="clear" w:color="auto" w:fill="DFE3E5" w:themeFill="background2"/>
              <w:spacing w:line="360" w:lineRule="auto"/>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4"/>
                <w:szCs w:val="24"/>
              </w:rPr>
            </w:pPr>
            <w:r w:rsidRPr="001754BB">
              <w:rPr>
                <w:rFonts w:asciiTheme="minorHAnsi" w:hAnsiTheme="minorHAnsi" w:cstheme="minorHAnsi"/>
                <w:sz w:val="24"/>
                <w:szCs w:val="24"/>
              </w:rPr>
              <w:t>Groupement</w:t>
            </w:r>
            <w:r w:rsidR="00CE2994">
              <w:rPr>
                <w:rFonts w:asciiTheme="minorHAnsi" w:hAnsiTheme="minorHAnsi" w:cstheme="minorHAnsi"/>
                <w:sz w:val="24"/>
                <w:szCs w:val="24"/>
              </w:rPr>
              <w:t xml:space="preserve"> </w:t>
            </w:r>
            <w:r w:rsidRPr="001754BB">
              <w:rPr>
                <w:rFonts w:asciiTheme="minorHAnsi" w:hAnsiTheme="minorHAnsi" w:cstheme="minorHAnsi"/>
                <w:sz w:val="24"/>
                <w:szCs w:val="24"/>
              </w:rPr>
              <w:t>d’intérêt</w:t>
            </w:r>
            <w:r w:rsidR="00CE2994">
              <w:rPr>
                <w:rFonts w:asciiTheme="minorHAnsi" w:hAnsiTheme="minorHAnsi" w:cstheme="minorHAnsi"/>
                <w:sz w:val="24"/>
                <w:szCs w:val="24"/>
              </w:rPr>
              <w:t xml:space="preserve"> </w:t>
            </w:r>
            <w:r w:rsidRPr="001754BB">
              <w:rPr>
                <w:rFonts w:asciiTheme="minorHAnsi" w:hAnsiTheme="minorHAnsi" w:cstheme="minorHAnsi"/>
                <w:sz w:val="24"/>
                <w:szCs w:val="24"/>
              </w:rPr>
              <w:t>Economique</w:t>
            </w:r>
          </w:p>
        </w:tc>
      </w:tr>
      <w:tr w:rsidR="00D54C69" w:rsidRPr="00A929CE" w:rsidDel="00706F54" w:rsidTr="0088575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26" w:type="pct"/>
            <w:shd w:val="clear" w:color="auto" w:fill="F2F2F2" w:themeFill="background1" w:themeFillShade="F2"/>
          </w:tcPr>
          <w:p w:rsidR="00D54C69" w:rsidRPr="00B8772C" w:rsidRDefault="00D54C69" w:rsidP="0088575D">
            <w:pPr>
              <w:pStyle w:val="Tbltxt"/>
              <w:shd w:val="clear" w:color="auto" w:fill="DFE3E5" w:themeFill="background2"/>
              <w:spacing w:line="360" w:lineRule="auto"/>
              <w:jc w:val="both"/>
              <w:rPr>
                <w:rFonts w:asciiTheme="minorHAnsi" w:hAnsiTheme="minorHAnsi" w:cstheme="minorHAnsi"/>
                <w:color w:val="auto"/>
                <w:sz w:val="24"/>
                <w:szCs w:val="24"/>
              </w:rPr>
            </w:pPr>
            <w:r w:rsidRPr="00B8772C">
              <w:rPr>
                <w:rFonts w:asciiTheme="minorHAnsi" w:hAnsiTheme="minorHAnsi" w:cstheme="minorHAnsi"/>
                <w:color w:val="auto"/>
                <w:sz w:val="24"/>
                <w:szCs w:val="24"/>
                <w:lang w:eastAsia="en-US"/>
              </w:rPr>
              <w:t>GIRE</w:t>
            </w:r>
          </w:p>
        </w:tc>
        <w:tc>
          <w:tcPr>
            <w:tcW w:w="3574" w:type="pct"/>
            <w:shd w:val="clear" w:color="auto" w:fill="F2F2F2" w:themeFill="background1" w:themeFillShade="F2"/>
          </w:tcPr>
          <w:p w:rsidR="00D54C69" w:rsidRPr="001754BB" w:rsidDel="00706F54" w:rsidRDefault="00D54C69" w:rsidP="0088575D">
            <w:pPr>
              <w:pStyle w:val="Tbltxt"/>
              <w:shd w:val="clear" w:color="auto" w:fill="DFE3E5" w:themeFill="background2"/>
              <w:spacing w:line="360" w:lineRule="auto"/>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4"/>
                <w:szCs w:val="24"/>
                <w:lang w:eastAsia="en-US"/>
              </w:rPr>
            </w:pPr>
            <w:r w:rsidRPr="001754BB">
              <w:rPr>
                <w:rFonts w:asciiTheme="minorHAnsi" w:hAnsiTheme="minorHAnsi" w:cstheme="minorHAnsi"/>
                <w:sz w:val="24"/>
                <w:szCs w:val="24"/>
                <w:lang w:eastAsia="en-US"/>
              </w:rPr>
              <w:t>Gestion</w:t>
            </w:r>
            <w:r w:rsidR="00CE2994">
              <w:rPr>
                <w:rFonts w:asciiTheme="minorHAnsi" w:hAnsiTheme="minorHAnsi" w:cstheme="minorHAnsi"/>
                <w:sz w:val="24"/>
                <w:szCs w:val="24"/>
                <w:lang w:eastAsia="en-US"/>
              </w:rPr>
              <w:t xml:space="preserve"> </w:t>
            </w:r>
            <w:r w:rsidRPr="001754BB">
              <w:rPr>
                <w:rFonts w:asciiTheme="minorHAnsi" w:hAnsiTheme="minorHAnsi" w:cstheme="minorHAnsi"/>
                <w:sz w:val="24"/>
                <w:szCs w:val="24"/>
                <w:lang w:eastAsia="en-US"/>
              </w:rPr>
              <w:t>Intégrée des Ressources en Eau</w:t>
            </w:r>
          </w:p>
        </w:tc>
      </w:tr>
      <w:tr w:rsidR="00D54C69" w:rsidRPr="00A929CE" w:rsidTr="0088575D">
        <w:tc>
          <w:tcPr>
            <w:cnfStyle w:val="001000000000" w:firstRow="0" w:lastRow="0" w:firstColumn="1" w:lastColumn="0" w:oddVBand="0" w:evenVBand="0" w:oddHBand="0" w:evenHBand="0" w:firstRowFirstColumn="0" w:firstRowLastColumn="0" w:lastRowFirstColumn="0" w:lastRowLastColumn="0"/>
            <w:tcW w:w="1426" w:type="pct"/>
            <w:shd w:val="clear" w:color="auto" w:fill="F2F2F2" w:themeFill="background1" w:themeFillShade="F2"/>
          </w:tcPr>
          <w:p w:rsidR="00D54C69" w:rsidRPr="00B8772C" w:rsidRDefault="00D54C69" w:rsidP="0088575D">
            <w:pPr>
              <w:pStyle w:val="Tbltxt"/>
              <w:shd w:val="clear" w:color="auto" w:fill="DFE3E5" w:themeFill="background2"/>
              <w:spacing w:line="360" w:lineRule="auto"/>
              <w:jc w:val="both"/>
              <w:rPr>
                <w:rFonts w:asciiTheme="minorHAnsi" w:hAnsiTheme="minorHAnsi" w:cstheme="minorHAnsi"/>
                <w:color w:val="auto"/>
                <w:sz w:val="24"/>
                <w:szCs w:val="24"/>
                <w:lang w:eastAsia="en-US"/>
              </w:rPr>
            </w:pPr>
            <w:r w:rsidRPr="00B8772C">
              <w:rPr>
                <w:rFonts w:asciiTheme="minorHAnsi" w:hAnsiTheme="minorHAnsi" w:cstheme="minorHAnsi"/>
                <w:color w:val="auto"/>
                <w:sz w:val="24"/>
                <w:szCs w:val="24"/>
                <w:lang w:eastAsia="en-US"/>
              </w:rPr>
              <w:t>GIRENS</w:t>
            </w:r>
          </w:p>
        </w:tc>
        <w:tc>
          <w:tcPr>
            <w:tcW w:w="3574" w:type="pct"/>
            <w:shd w:val="clear" w:color="auto" w:fill="F2F2F2" w:themeFill="background1" w:themeFillShade="F2"/>
          </w:tcPr>
          <w:p w:rsidR="00D54C69" w:rsidRPr="001754BB" w:rsidRDefault="00D54C69" w:rsidP="0088575D">
            <w:pPr>
              <w:pStyle w:val="Tbltxt"/>
              <w:shd w:val="clear" w:color="auto" w:fill="DFE3E5" w:themeFill="background2"/>
              <w:spacing w:line="360" w:lineRule="auto"/>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4"/>
                <w:szCs w:val="24"/>
                <w:lang w:eastAsia="en-US"/>
              </w:rPr>
            </w:pPr>
            <w:r w:rsidRPr="001754BB">
              <w:rPr>
                <w:rFonts w:asciiTheme="minorHAnsi" w:hAnsiTheme="minorHAnsi" w:cstheme="minorHAnsi"/>
                <w:sz w:val="24"/>
                <w:szCs w:val="24"/>
                <w:lang w:eastAsia="en-US"/>
              </w:rPr>
              <w:t>Programme de Gestion</w:t>
            </w:r>
            <w:r w:rsidR="00CE2994">
              <w:rPr>
                <w:rFonts w:asciiTheme="minorHAnsi" w:hAnsiTheme="minorHAnsi" w:cstheme="minorHAnsi"/>
                <w:sz w:val="24"/>
                <w:szCs w:val="24"/>
                <w:lang w:eastAsia="en-US"/>
              </w:rPr>
              <w:t xml:space="preserve"> </w:t>
            </w:r>
            <w:r w:rsidRPr="001754BB">
              <w:rPr>
                <w:rFonts w:asciiTheme="minorHAnsi" w:hAnsiTheme="minorHAnsi" w:cstheme="minorHAnsi"/>
                <w:sz w:val="24"/>
                <w:szCs w:val="24"/>
                <w:lang w:eastAsia="en-US"/>
              </w:rPr>
              <w:t>Intégrée des Ressources en Eau du Niger Supérieur</w:t>
            </w:r>
          </w:p>
        </w:tc>
      </w:tr>
      <w:tr w:rsidR="00D54C69" w:rsidRPr="00A929CE" w:rsidTr="0088575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26" w:type="pct"/>
            <w:shd w:val="clear" w:color="auto" w:fill="F2F2F2" w:themeFill="background1" w:themeFillShade="F2"/>
          </w:tcPr>
          <w:p w:rsidR="00D54C69" w:rsidRPr="00B8772C" w:rsidRDefault="00D54C69" w:rsidP="0088575D">
            <w:pPr>
              <w:pStyle w:val="Tbltxt"/>
              <w:shd w:val="clear" w:color="auto" w:fill="DFE3E5" w:themeFill="background2"/>
              <w:spacing w:line="360" w:lineRule="auto"/>
              <w:jc w:val="both"/>
              <w:rPr>
                <w:rFonts w:asciiTheme="minorHAnsi" w:hAnsiTheme="minorHAnsi" w:cstheme="minorHAnsi"/>
                <w:color w:val="auto"/>
                <w:sz w:val="24"/>
                <w:szCs w:val="24"/>
                <w:lang w:eastAsia="en-US"/>
              </w:rPr>
            </w:pPr>
            <w:r w:rsidRPr="00B8772C">
              <w:rPr>
                <w:rFonts w:asciiTheme="minorHAnsi" w:hAnsiTheme="minorHAnsi" w:cstheme="minorHAnsi"/>
                <w:color w:val="auto"/>
                <w:sz w:val="24"/>
                <w:szCs w:val="24"/>
                <w:lang w:eastAsia="en-US"/>
              </w:rPr>
              <w:t>GIZ</w:t>
            </w:r>
          </w:p>
        </w:tc>
        <w:tc>
          <w:tcPr>
            <w:tcW w:w="3574" w:type="pct"/>
            <w:shd w:val="clear" w:color="auto" w:fill="F2F2F2" w:themeFill="background1" w:themeFillShade="F2"/>
          </w:tcPr>
          <w:p w:rsidR="00D54C69" w:rsidRPr="001754BB" w:rsidRDefault="00D54C69" w:rsidP="0088575D">
            <w:pPr>
              <w:pStyle w:val="Tbltxt"/>
              <w:shd w:val="clear" w:color="auto" w:fill="DFE3E5" w:themeFill="background2"/>
              <w:spacing w:line="360" w:lineRule="auto"/>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4"/>
                <w:szCs w:val="24"/>
                <w:lang w:eastAsia="en-US"/>
              </w:rPr>
            </w:pPr>
            <w:r w:rsidRPr="001754BB">
              <w:rPr>
                <w:rFonts w:asciiTheme="minorHAnsi" w:hAnsiTheme="minorHAnsi" w:cstheme="minorHAnsi"/>
                <w:sz w:val="24"/>
                <w:szCs w:val="24"/>
                <w:lang w:eastAsia="en-US"/>
              </w:rPr>
              <w:t>Gesellschaft für Internationale Zusammenarbeit (Coopération Allemande au Développement)</w:t>
            </w:r>
          </w:p>
        </w:tc>
      </w:tr>
      <w:tr w:rsidR="00D54C69" w:rsidRPr="007B4568" w:rsidTr="0088575D">
        <w:tc>
          <w:tcPr>
            <w:cnfStyle w:val="001000000000" w:firstRow="0" w:lastRow="0" w:firstColumn="1" w:lastColumn="0" w:oddVBand="0" w:evenVBand="0" w:oddHBand="0" w:evenHBand="0" w:firstRowFirstColumn="0" w:firstRowLastColumn="0" w:lastRowFirstColumn="0" w:lastRowLastColumn="0"/>
            <w:tcW w:w="1426" w:type="pct"/>
            <w:shd w:val="clear" w:color="auto" w:fill="F2F2F2" w:themeFill="background1" w:themeFillShade="F2"/>
          </w:tcPr>
          <w:p w:rsidR="00D54C69" w:rsidRPr="00B8772C" w:rsidRDefault="00D54C69" w:rsidP="0088575D">
            <w:pPr>
              <w:pStyle w:val="Tbltxt"/>
              <w:shd w:val="clear" w:color="auto" w:fill="DFE3E5" w:themeFill="background2"/>
              <w:spacing w:line="360" w:lineRule="auto"/>
              <w:jc w:val="both"/>
              <w:rPr>
                <w:rFonts w:asciiTheme="minorHAnsi" w:hAnsiTheme="minorHAnsi" w:cstheme="minorHAnsi"/>
                <w:color w:val="auto"/>
                <w:sz w:val="24"/>
                <w:szCs w:val="24"/>
              </w:rPr>
            </w:pPr>
            <w:r w:rsidRPr="00B8772C">
              <w:rPr>
                <w:rFonts w:asciiTheme="minorHAnsi" w:hAnsiTheme="minorHAnsi" w:cstheme="minorHAnsi"/>
                <w:color w:val="auto"/>
                <w:sz w:val="24"/>
                <w:szCs w:val="24"/>
              </w:rPr>
              <w:t>GLAAS</w:t>
            </w:r>
          </w:p>
        </w:tc>
        <w:tc>
          <w:tcPr>
            <w:tcW w:w="3574" w:type="pct"/>
            <w:shd w:val="clear" w:color="auto" w:fill="F2F2F2" w:themeFill="background1" w:themeFillShade="F2"/>
          </w:tcPr>
          <w:p w:rsidR="00D54C69" w:rsidRPr="001754BB" w:rsidRDefault="00D54C69" w:rsidP="0088575D">
            <w:pPr>
              <w:pStyle w:val="Tbltxt"/>
              <w:shd w:val="clear" w:color="auto" w:fill="DFE3E5" w:themeFill="background2"/>
              <w:spacing w:line="360" w:lineRule="auto"/>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4"/>
                <w:szCs w:val="24"/>
                <w:lang w:val="en-GB"/>
              </w:rPr>
            </w:pPr>
            <w:r w:rsidRPr="001754BB">
              <w:rPr>
                <w:rFonts w:asciiTheme="minorHAnsi" w:hAnsiTheme="minorHAnsi" w:cstheme="minorHAnsi"/>
                <w:sz w:val="24"/>
                <w:szCs w:val="24"/>
                <w:lang w:val="en-GB"/>
              </w:rPr>
              <w:t>Global Analysis and Assessment of Sanitation and Drinking-water</w:t>
            </w:r>
          </w:p>
        </w:tc>
      </w:tr>
      <w:tr w:rsidR="00D54C69" w:rsidRPr="00A929CE" w:rsidTr="0088575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26" w:type="pct"/>
            <w:shd w:val="clear" w:color="auto" w:fill="F2F2F2" w:themeFill="background1" w:themeFillShade="F2"/>
          </w:tcPr>
          <w:p w:rsidR="00D54C69" w:rsidRPr="00B8772C" w:rsidRDefault="00D54C69" w:rsidP="0088575D">
            <w:pPr>
              <w:pStyle w:val="Tbltxt"/>
              <w:shd w:val="clear" w:color="auto" w:fill="DFE3E5" w:themeFill="background2"/>
              <w:spacing w:line="360" w:lineRule="auto"/>
              <w:jc w:val="both"/>
              <w:rPr>
                <w:rFonts w:asciiTheme="minorHAnsi" w:hAnsiTheme="minorHAnsi" w:cstheme="minorHAnsi"/>
                <w:color w:val="auto"/>
                <w:sz w:val="24"/>
                <w:szCs w:val="24"/>
              </w:rPr>
            </w:pPr>
            <w:r w:rsidRPr="00B8772C">
              <w:rPr>
                <w:rFonts w:asciiTheme="minorHAnsi" w:hAnsiTheme="minorHAnsi" w:cstheme="minorHAnsi"/>
                <w:color w:val="auto"/>
                <w:sz w:val="24"/>
                <w:szCs w:val="24"/>
                <w:lang w:eastAsia="en-US"/>
              </w:rPr>
              <w:t>IEC</w:t>
            </w:r>
          </w:p>
        </w:tc>
        <w:tc>
          <w:tcPr>
            <w:tcW w:w="3574" w:type="pct"/>
            <w:shd w:val="clear" w:color="auto" w:fill="F2F2F2" w:themeFill="background1" w:themeFillShade="F2"/>
          </w:tcPr>
          <w:p w:rsidR="00D54C69" w:rsidRPr="001754BB" w:rsidRDefault="00D54C69" w:rsidP="0088575D">
            <w:pPr>
              <w:pStyle w:val="Tbltxt"/>
              <w:shd w:val="clear" w:color="auto" w:fill="DFE3E5" w:themeFill="background2"/>
              <w:spacing w:line="360" w:lineRule="auto"/>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4"/>
                <w:szCs w:val="24"/>
                <w:lang w:eastAsia="en-US"/>
              </w:rPr>
            </w:pPr>
            <w:r w:rsidRPr="001754BB">
              <w:rPr>
                <w:rFonts w:asciiTheme="minorHAnsi" w:hAnsiTheme="minorHAnsi" w:cstheme="minorHAnsi"/>
                <w:sz w:val="24"/>
                <w:szCs w:val="24"/>
                <w:lang w:eastAsia="en-US"/>
              </w:rPr>
              <w:t>Information, Éducation et Communication</w:t>
            </w:r>
          </w:p>
        </w:tc>
      </w:tr>
      <w:tr w:rsidR="00D54C69" w:rsidRPr="00A929CE" w:rsidTr="0088575D">
        <w:tc>
          <w:tcPr>
            <w:cnfStyle w:val="001000000000" w:firstRow="0" w:lastRow="0" w:firstColumn="1" w:lastColumn="0" w:oddVBand="0" w:evenVBand="0" w:oddHBand="0" w:evenHBand="0" w:firstRowFirstColumn="0" w:firstRowLastColumn="0" w:lastRowFirstColumn="0" w:lastRowLastColumn="0"/>
            <w:tcW w:w="1426" w:type="pct"/>
            <w:shd w:val="clear" w:color="auto" w:fill="F2F2F2" w:themeFill="background1" w:themeFillShade="F2"/>
          </w:tcPr>
          <w:p w:rsidR="00D54C69" w:rsidRPr="00B8772C" w:rsidRDefault="00D54C69" w:rsidP="0088575D">
            <w:pPr>
              <w:pStyle w:val="Tbltxt"/>
              <w:shd w:val="clear" w:color="auto" w:fill="DFE3E5" w:themeFill="background2"/>
              <w:spacing w:line="360" w:lineRule="auto"/>
              <w:jc w:val="both"/>
              <w:rPr>
                <w:rFonts w:asciiTheme="minorHAnsi" w:hAnsiTheme="minorHAnsi" w:cstheme="minorHAnsi"/>
                <w:color w:val="auto"/>
                <w:sz w:val="24"/>
                <w:szCs w:val="24"/>
                <w:lang w:eastAsia="en-US"/>
              </w:rPr>
            </w:pPr>
            <w:r w:rsidRPr="00B8772C">
              <w:rPr>
                <w:rFonts w:asciiTheme="minorHAnsi" w:hAnsiTheme="minorHAnsi" w:cstheme="minorHAnsi"/>
                <w:color w:val="auto"/>
                <w:sz w:val="24"/>
                <w:szCs w:val="24"/>
                <w:lang w:eastAsia="en-US"/>
              </w:rPr>
              <w:t>INSTAT</w:t>
            </w:r>
          </w:p>
        </w:tc>
        <w:tc>
          <w:tcPr>
            <w:tcW w:w="3574" w:type="pct"/>
            <w:shd w:val="clear" w:color="auto" w:fill="F2F2F2" w:themeFill="background1" w:themeFillShade="F2"/>
          </w:tcPr>
          <w:p w:rsidR="00D54C69" w:rsidRPr="001754BB" w:rsidRDefault="00D54C69" w:rsidP="0088575D">
            <w:pPr>
              <w:pStyle w:val="Tbltxt"/>
              <w:shd w:val="clear" w:color="auto" w:fill="DFE3E5" w:themeFill="background2"/>
              <w:spacing w:line="360" w:lineRule="auto"/>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4"/>
                <w:szCs w:val="24"/>
                <w:lang w:eastAsia="en-US"/>
              </w:rPr>
            </w:pPr>
            <w:r w:rsidRPr="001754BB">
              <w:rPr>
                <w:rFonts w:asciiTheme="minorHAnsi" w:hAnsiTheme="minorHAnsi" w:cstheme="minorHAnsi"/>
                <w:sz w:val="24"/>
                <w:szCs w:val="24"/>
                <w:lang w:eastAsia="en-US"/>
              </w:rPr>
              <w:t>Institut National de Statistique</w:t>
            </w:r>
          </w:p>
        </w:tc>
      </w:tr>
      <w:tr w:rsidR="00D54C69" w:rsidRPr="00A929CE" w:rsidTr="0088575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26" w:type="pct"/>
            <w:shd w:val="clear" w:color="auto" w:fill="F2F2F2" w:themeFill="background1" w:themeFillShade="F2"/>
          </w:tcPr>
          <w:p w:rsidR="00D54C69" w:rsidRPr="00B8772C" w:rsidRDefault="00D54C69" w:rsidP="0088575D">
            <w:pPr>
              <w:pStyle w:val="Tbltxt"/>
              <w:shd w:val="clear" w:color="auto" w:fill="DFE3E5" w:themeFill="background2"/>
              <w:spacing w:line="360" w:lineRule="auto"/>
              <w:jc w:val="both"/>
              <w:rPr>
                <w:rFonts w:asciiTheme="minorHAnsi" w:hAnsiTheme="minorHAnsi" w:cstheme="minorHAnsi"/>
                <w:color w:val="auto"/>
                <w:sz w:val="24"/>
                <w:szCs w:val="24"/>
              </w:rPr>
            </w:pPr>
            <w:r w:rsidRPr="00B8772C">
              <w:rPr>
                <w:rFonts w:asciiTheme="minorHAnsi" w:hAnsiTheme="minorHAnsi" w:cstheme="minorHAnsi"/>
                <w:color w:val="auto"/>
                <w:sz w:val="24"/>
                <w:szCs w:val="24"/>
              </w:rPr>
              <w:t>JMP</w:t>
            </w:r>
          </w:p>
        </w:tc>
        <w:tc>
          <w:tcPr>
            <w:tcW w:w="3574" w:type="pct"/>
            <w:shd w:val="clear" w:color="auto" w:fill="F2F2F2" w:themeFill="background1" w:themeFillShade="F2"/>
          </w:tcPr>
          <w:p w:rsidR="00D54C69" w:rsidRPr="001754BB" w:rsidRDefault="00D54C69" w:rsidP="0088575D">
            <w:pPr>
              <w:pStyle w:val="Tbltxt"/>
              <w:shd w:val="clear" w:color="auto" w:fill="DFE3E5" w:themeFill="background2"/>
              <w:spacing w:line="360" w:lineRule="auto"/>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4"/>
                <w:szCs w:val="24"/>
              </w:rPr>
            </w:pPr>
            <w:r w:rsidRPr="001754BB">
              <w:rPr>
                <w:rFonts w:asciiTheme="minorHAnsi" w:hAnsiTheme="minorHAnsi" w:cstheme="minorHAnsi"/>
                <w:sz w:val="24"/>
                <w:szCs w:val="24"/>
              </w:rPr>
              <w:t>Joint Monitoring Programme</w:t>
            </w:r>
          </w:p>
        </w:tc>
      </w:tr>
      <w:tr w:rsidR="00D54C69" w:rsidRPr="00A929CE" w:rsidTr="0088575D">
        <w:tc>
          <w:tcPr>
            <w:cnfStyle w:val="001000000000" w:firstRow="0" w:lastRow="0" w:firstColumn="1" w:lastColumn="0" w:oddVBand="0" w:evenVBand="0" w:oddHBand="0" w:evenHBand="0" w:firstRowFirstColumn="0" w:firstRowLastColumn="0" w:lastRowFirstColumn="0" w:lastRowLastColumn="0"/>
            <w:tcW w:w="1426" w:type="pct"/>
            <w:shd w:val="clear" w:color="auto" w:fill="F2F2F2" w:themeFill="background1" w:themeFillShade="F2"/>
          </w:tcPr>
          <w:p w:rsidR="00D54C69" w:rsidRPr="00B8772C" w:rsidRDefault="00D54C69" w:rsidP="0088575D">
            <w:pPr>
              <w:pStyle w:val="Tbltxt"/>
              <w:shd w:val="clear" w:color="auto" w:fill="DFE3E5" w:themeFill="background2"/>
              <w:spacing w:line="360" w:lineRule="auto"/>
              <w:jc w:val="both"/>
              <w:rPr>
                <w:rFonts w:asciiTheme="minorHAnsi" w:hAnsiTheme="minorHAnsi" w:cstheme="minorHAnsi"/>
                <w:color w:val="auto"/>
                <w:sz w:val="24"/>
                <w:szCs w:val="24"/>
              </w:rPr>
            </w:pPr>
            <w:r w:rsidRPr="00B8772C">
              <w:rPr>
                <w:rFonts w:asciiTheme="minorHAnsi" w:hAnsiTheme="minorHAnsi" w:cstheme="minorHAnsi"/>
                <w:color w:val="auto"/>
                <w:sz w:val="24"/>
                <w:szCs w:val="24"/>
              </w:rPr>
              <w:t>KfW</w:t>
            </w:r>
          </w:p>
        </w:tc>
        <w:tc>
          <w:tcPr>
            <w:tcW w:w="3574" w:type="pct"/>
            <w:shd w:val="clear" w:color="auto" w:fill="F2F2F2" w:themeFill="background1" w:themeFillShade="F2"/>
          </w:tcPr>
          <w:p w:rsidR="00D54C69" w:rsidRPr="001754BB" w:rsidRDefault="00D54C69" w:rsidP="0088575D">
            <w:pPr>
              <w:pStyle w:val="Tbltxt"/>
              <w:shd w:val="clear" w:color="auto" w:fill="DFE3E5" w:themeFill="background2"/>
              <w:spacing w:line="360" w:lineRule="auto"/>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4"/>
                <w:szCs w:val="24"/>
              </w:rPr>
            </w:pPr>
            <w:r w:rsidRPr="001754BB">
              <w:rPr>
                <w:rFonts w:asciiTheme="minorHAnsi" w:hAnsiTheme="minorHAnsi" w:cstheme="minorHAnsi"/>
                <w:sz w:val="24"/>
                <w:szCs w:val="24"/>
              </w:rPr>
              <w:t>Kreditanstalt für Wiederaufbau (RFA)</w:t>
            </w:r>
          </w:p>
        </w:tc>
      </w:tr>
      <w:tr w:rsidR="00D54C69" w:rsidRPr="00A929CE" w:rsidTr="0088575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26" w:type="pct"/>
            <w:shd w:val="clear" w:color="auto" w:fill="F2F2F2" w:themeFill="background1" w:themeFillShade="F2"/>
          </w:tcPr>
          <w:p w:rsidR="00D54C69" w:rsidRPr="00B8772C" w:rsidRDefault="00D54C69" w:rsidP="0088575D">
            <w:pPr>
              <w:pStyle w:val="Tbltxt"/>
              <w:shd w:val="clear" w:color="auto" w:fill="DFE3E5" w:themeFill="background2"/>
              <w:spacing w:line="360" w:lineRule="auto"/>
              <w:jc w:val="both"/>
              <w:rPr>
                <w:rFonts w:asciiTheme="minorHAnsi" w:hAnsiTheme="minorHAnsi" w:cstheme="minorHAnsi"/>
                <w:color w:val="auto"/>
                <w:sz w:val="24"/>
                <w:szCs w:val="24"/>
              </w:rPr>
            </w:pPr>
            <w:r w:rsidRPr="00B8772C">
              <w:rPr>
                <w:rFonts w:asciiTheme="minorHAnsi" w:hAnsiTheme="minorHAnsi" w:cstheme="minorHAnsi"/>
                <w:color w:val="auto"/>
                <w:sz w:val="24"/>
                <w:szCs w:val="24"/>
                <w:lang w:eastAsia="en-US"/>
              </w:rPr>
              <w:t>MEADD</w:t>
            </w:r>
          </w:p>
        </w:tc>
        <w:tc>
          <w:tcPr>
            <w:tcW w:w="3574" w:type="pct"/>
            <w:shd w:val="clear" w:color="auto" w:fill="F2F2F2" w:themeFill="background1" w:themeFillShade="F2"/>
          </w:tcPr>
          <w:p w:rsidR="00D54C69" w:rsidRPr="001754BB" w:rsidRDefault="00D54C69" w:rsidP="0088575D">
            <w:pPr>
              <w:pStyle w:val="Tbltxt"/>
              <w:shd w:val="clear" w:color="auto" w:fill="DFE3E5" w:themeFill="background2"/>
              <w:spacing w:line="360" w:lineRule="auto"/>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4"/>
                <w:szCs w:val="24"/>
                <w:lang w:eastAsia="en-US"/>
              </w:rPr>
            </w:pPr>
            <w:r w:rsidRPr="001754BB">
              <w:rPr>
                <w:rFonts w:asciiTheme="minorHAnsi" w:hAnsiTheme="minorHAnsi" w:cstheme="minorHAnsi"/>
                <w:sz w:val="24"/>
                <w:szCs w:val="24"/>
                <w:lang w:eastAsia="en-US"/>
              </w:rPr>
              <w:t>Ministère de l’Environnement et de l’Assainissement et Développement Durable</w:t>
            </w:r>
          </w:p>
        </w:tc>
      </w:tr>
      <w:tr w:rsidR="00D54C69" w:rsidRPr="00A929CE" w:rsidTr="0088575D">
        <w:tc>
          <w:tcPr>
            <w:cnfStyle w:val="001000000000" w:firstRow="0" w:lastRow="0" w:firstColumn="1" w:lastColumn="0" w:oddVBand="0" w:evenVBand="0" w:oddHBand="0" w:evenHBand="0" w:firstRowFirstColumn="0" w:firstRowLastColumn="0" w:lastRowFirstColumn="0" w:lastRowLastColumn="0"/>
            <w:tcW w:w="1426" w:type="pct"/>
            <w:shd w:val="clear" w:color="auto" w:fill="F2F2F2" w:themeFill="background1" w:themeFillShade="F2"/>
          </w:tcPr>
          <w:p w:rsidR="00D54C69" w:rsidRPr="00B8772C" w:rsidRDefault="00D54C69" w:rsidP="0088575D">
            <w:pPr>
              <w:pStyle w:val="Tbltxt"/>
              <w:shd w:val="clear" w:color="auto" w:fill="DFE3E5" w:themeFill="background2"/>
              <w:spacing w:line="360" w:lineRule="auto"/>
              <w:jc w:val="both"/>
              <w:rPr>
                <w:rFonts w:asciiTheme="minorHAnsi" w:hAnsiTheme="minorHAnsi" w:cstheme="minorHAnsi"/>
                <w:color w:val="auto"/>
                <w:sz w:val="24"/>
                <w:szCs w:val="24"/>
              </w:rPr>
            </w:pPr>
            <w:r w:rsidRPr="00B8772C">
              <w:rPr>
                <w:rFonts w:asciiTheme="minorHAnsi" w:hAnsiTheme="minorHAnsi" w:cstheme="minorHAnsi"/>
                <w:color w:val="auto"/>
                <w:sz w:val="24"/>
                <w:szCs w:val="24"/>
                <w:lang w:eastAsia="en-US"/>
              </w:rPr>
              <w:t>MEE</w:t>
            </w:r>
          </w:p>
        </w:tc>
        <w:tc>
          <w:tcPr>
            <w:tcW w:w="3574" w:type="pct"/>
            <w:shd w:val="clear" w:color="auto" w:fill="F2F2F2" w:themeFill="background1" w:themeFillShade="F2"/>
          </w:tcPr>
          <w:p w:rsidR="00D54C69" w:rsidRPr="001754BB" w:rsidRDefault="00D54C69" w:rsidP="0088575D">
            <w:pPr>
              <w:pStyle w:val="Tbltxt"/>
              <w:shd w:val="clear" w:color="auto" w:fill="DFE3E5" w:themeFill="background2"/>
              <w:spacing w:line="360" w:lineRule="auto"/>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4"/>
                <w:szCs w:val="24"/>
                <w:lang w:eastAsia="en-US"/>
              </w:rPr>
            </w:pPr>
            <w:r w:rsidRPr="001754BB">
              <w:rPr>
                <w:rFonts w:asciiTheme="minorHAnsi" w:hAnsiTheme="minorHAnsi" w:cstheme="minorHAnsi"/>
                <w:sz w:val="24"/>
                <w:szCs w:val="24"/>
                <w:lang w:eastAsia="en-US"/>
              </w:rPr>
              <w:t>Ministère de Energie et de l’Eau</w:t>
            </w:r>
          </w:p>
        </w:tc>
      </w:tr>
      <w:tr w:rsidR="00D54C69" w:rsidRPr="00A929CE" w:rsidTr="0088575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26" w:type="pct"/>
            <w:shd w:val="clear" w:color="auto" w:fill="F2F2F2" w:themeFill="background1" w:themeFillShade="F2"/>
          </w:tcPr>
          <w:p w:rsidR="00D54C69" w:rsidRPr="00B8772C" w:rsidRDefault="00D54C69" w:rsidP="0088575D">
            <w:pPr>
              <w:pStyle w:val="Tbltxt"/>
              <w:shd w:val="clear" w:color="auto" w:fill="DFE3E5" w:themeFill="background2"/>
              <w:spacing w:line="360" w:lineRule="auto"/>
              <w:jc w:val="both"/>
              <w:rPr>
                <w:rFonts w:asciiTheme="minorHAnsi" w:hAnsiTheme="minorHAnsi" w:cstheme="minorHAnsi"/>
                <w:color w:val="auto"/>
                <w:sz w:val="24"/>
                <w:szCs w:val="24"/>
                <w:lang w:eastAsia="en-US"/>
              </w:rPr>
            </w:pPr>
            <w:r w:rsidRPr="00B8772C">
              <w:rPr>
                <w:rFonts w:asciiTheme="minorHAnsi" w:hAnsiTheme="minorHAnsi" w:cstheme="minorHAnsi"/>
                <w:color w:val="auto"/>
                <w:sz w:val="24"/>
                <w:szCs w:val="24"/>
                <w:lang w:eastAsia="en-US"/>
              </w:rPr>
              <w:t>MEN</w:t>
            </w:r>
          </w:p>
        </w:tc>
        <w:tc>
          <w:tcPr>
            <w:tcW w:w="3574" w:type="pct"/>
            <w:shd w:val="clear" w:color="auto" w:fill="F2F2F2" w:themeFill="background1" w:themeFillShade="F2"/>
          </w:tcPr>
          <w:p w:rsidR="00D54C69" w:rsidRPr="001754BB" w:rsidRDefault="00D54C69" w:rsidP="0088575D">
            <w:pPr>
              <w:pStyle w:val="Tbltxt"/>
              <w:shd w:val="clear" w:color="auto" w:fill="DFE3E5" w:themeFill="background2"/>
              <w:spacing w:line="360" w:lineRule="auto"/>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4"/>
                <w:szCs w:val="24"/>
                <w:lang w:eastAsia="en-US"/>
              </w:rPr>
            </w:pPr>
            <w:r w:rsidRPr="001754BB">
              <w:rPr>
                <w:rFonts w:asciiTheme="minorHAnsi" w:hAnsiTheme="minorHAnsi" w:cstheme="minorHAnsi"/>
                <w:sz w:val="24"/>
                <w:szCs w:val="24"/>
                <w:lang w:eastAsia="en-US"/>
              </w:rPr>
              <w:t>Ministère de l’Education Nationale</w:t>
            </w:r>
          </w:p>
        </w:tc>
      </w:tr>
      <w:tr w:rsidR="00D54C69" w:rsidRPr="00A929CE" w:rsidTr="0088575D">
        <w:tc>
          <w:tcPr>
            <w:cnfStyle w:val="001000000000" w:firstRow="0" w:lastRow="0" w:firstColumn="1" w:lastColumn="0" w:oddVBand="0" w:evenVBand="0" w:oddHBand="0" w:evenHBand="0" w:firstRowFirstColumn="0" w:firstRowLastColumn="0" w:lastRowFirstColumn="0" w:lastRowLastColumn="0"/>
            <w:tcW w:w="1426" w:type="pct"/>
            <w:shd w:val="clear" w:color="auto" w:fill="F2F2F2" w:themeFill="background1" w:themeFillShade="F2"/>
          </w:tcPr>
          <w:p w:rsidR="00D54C69" w:rsidRPr="00B8772C" w:rsidRDefault="00D54C69" w:rsidP="0088575D">
            <w:pPr>
              <w:pStyle w:val="Tbltxt"/>
              <w:shd w:val="clear" w:color="auto" w:fill="DFE3E5" w:themeFill="background2"/>
              <w:spacing w:line="360" w:lineRule="auto"/>
              <w:jc w:val="both"/>
              <w:rPr>
                <w:rFonts w:asciiTheme="minorHAnsi" w:hAnsiTheme="minorHAnsi" w:cstheme="minorHAnsi"/>
                <w:color w:val="auto"/>
                <w:sz w:val="24"/>
                <w:szCs w:val="24"/>
              </w:rPr>
            </w:pPr>
            <w:r w:rsidRPr="00B8772C">
              <w:rPr>
                <w:rFonts w:asciiTheme="minorHAnsi" w:hAnsiTheme="minorHAnsi" w:cstheme="minorHAnsi"/>
                <w:color w:val="auto"/>
                <w:sz w:val="24"/>
                <w:szCs w:val="24"/>
              </w:rPr>
              <w:t>MF</w:t>
            </w:r>
          </w:p>
        </w:tc>
        <w:tc>
          <w:tcPr>
            <w:tcW w:w="3574" w:type="pct"/>
            <w:shd w:val="clear" w:color="auto" w:fill="F2F2F2" w:themeFill="background1" w:themeFillShade="F2"/>
          </w:tcPr>
          <w:p w:rsidR="00D54C69" w:rsidRPr="001754BB" w:rsidRDefault="00D54C69" w:rsidP="0088575D">
            <w:pPr>
              <w:pStyle w:val="Tbltxt"/>
              <w:shd w:val="clear" w:color="auto" w:fill="DFE3E5" w:themeFill="background2"/>
              <w:spacing w:line="360" w:lineRule="auto"/>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4"/>
                <w:szCs w:val="24"/>
              </w:rPr>
            </w:pPr>
            <w:r w:rsidRPr="001754BB">
              <w:rPr>
                <w:rFonts w:asciiTheme="minorHAnsi" w:hAnsiTheme="minorHAnsi" w:cstheme="minorHAnsi"/>
                <w:sz w:val="24"/>
                <w:szCs w:val="24"/>
              </w:rPr>
              <w:t>Ministère des finances</w:t>
            </w:r>
          </w:p>
        </w:tc>
      </w:tr>
      <w:tr w:rsidR="00D54C69" w:rsidRPr="00A929CE" w:rsidTr="0088575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26" w:type="pct"/>
            <w:shd w:val="clear" w:color="auto" w:fill="F2F2F2" w:themeFill="background1" w:themeFillShade="F2"/>
          </w:tcPr>
          <w:p w:rsidR="00D54C69" w:rsidRPr="00B8772C" w:rsidRDefault="00D54C69" w:rsidP="0088575D">
            <w:pPr>
              <w:pStyle w:val="Tbltxt"/>
              <w:shd w:val="clear" w:color="auto" w:fill="DFE3E5" w:themeFill="background2"/>
              <w:spacing w:line="360" w:lineRule="auto"/>
              <w:jc w:val="both"/>
              <w:rPr>
                <w:rFonts w:asciiTheme="minorHAnsi" w:hAnsiTheme="minorHAnsi" w:cstheme="minorHAnsi"/>
                <w:color w:val="auto"/>
                <w:sz w:val="24"/>
                <w:szCs w:val="24"/>
              </w:rPr>
            </w:pPr>
            <w:r w:rsidRPr="00B8772C">
              <w:rPr>
                <w:rFonts w:asciiTheme="minorHAnsi" w:hAnsiTheme="minorHAnsi" w:cstheme="minorHAnsi"/>
                <w:color w:val="auto"/>
                <w:sz w:val="24"/>
                <w:szCs w:val="24"/>
              </w:rPr>
              <w:t>MSHP</w:t>
            </w:r>
          </w:p>
        </w:tc>
        <w:tc>
          <w:tcPr>
            <w:tcW w:w="3574" w:type="pct"/>
            <w:shd w:val="clear" w:color="auto" w:fill="F2F2F2" w:themeFill="background1" w:themeFillShade="F2"/>
          </w:tcPr>
          <w:p w:rsidR="00D54C69" w:rsidRPr="001754BB" w:rsidRDefault="00D54C69" w:rsidP="0088575D">
            <w:pPr>
              <w:pStyle w:val="Tbltxt"/>
              <w:shd w:val="clear" w:color="auto" w:fill="DFE3E5" w:themeFill="background2"/>
              <w:spacing w:line="360" w:lineRule="auto"/>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4"/>
                <w:szCs w:val="24"/>
              </w:rPr>
            </w:pPr>
            <w:r w:rsidRPr="001754BB">
              <w:rPr>
                <w:rFonts w:asciiTheme="minorHAnsi" w:hAnsiTheme="minorHAnsi" w:cstheme="minorHAnsi"/>
                <w:sz w:val="24"/>
                <w:szCs w:val="24"/>
              </w:rPr>
              <w:t>Ministère de la Santé et de l’Hygiène</w:t>
            </w:r>
            <w:r w:rsidR="00CE2994">
              <w:rPr>
                <w:rFonts w:asciiTheme="minorHAnsi" w:hAnsiTheme="minorHAnsi" w:cstheme="minorHAnsi"/>
                <w:sz w:val="24"/>
                <w:szCs w:val="24"/>
              </w:rPr>
              <w:t xml:space="preserve"> </w:t>
            </w:r>
            <w:r w:rsidRPr="001754BB">
              <w:rPr>
                <w:rFonts w:asciiTheme="minorHAnsi" w:hAnsiTheme="minorHAnsi" w:cstheme="minorHAnsi"/>
                <w:sz w:val="24"/>
                <w:szCs w:val="24"/>
              </w:rPr>
              <w:t>Publique</w:t>
            </w:r>
          </w:p>
        </w:tc>
      </w:tr>
      <w:tr w:rsidR="00D54C69" w:rsidRPr="00A929CE" w:rsidTr="0088575D">
        <w:tc>
          <w:tcPr>
            <w:cnfStyle w:val="001000000000" w:firstRow="0" w:lastRow="0" w:firstColumn="1" w:lastColumn="0" w:oddVBand="0" w:evenVBand="0" w:oddHBand="0" w:evenHBand="0" w:firstRowFirstColumn="0" w:firstRowLastColumn="0" w:lastRowFirstColumn="0" w:lastRowLastColumn="0"/>
            <w:tcW w:w="1426" w:type="pct"/>
            <w:shd w:val="clear" w:color="auto" w:fill="F2F2F2" w:themeFill="background1" w:themeFillShade="F2"/>
          </w:tcPr>
          <w:p w:rsidR="00D54C69" w:rsidRPr="00B8772C" w:rsidRDefault="00D54C69" w:rsidP="0088575D">
            <w:pPr>
              <w:pStyle w:val="Tbltxt"/>
              <w:shd w:val="clear" w:color="auto" w:fill="DFE3E5" w:themeFill="background2"/>
              <w:spacing w:line="360" w:lineRule="auto"/>
              <w:jc w:val="both"/>
              <w:rPr>
                <w:rFonts w:asciiTheme="minorHAnsi" w:hAnsiTheme="minorHAnsi" w:cstheme="minorHAnsi"/>
                <w:color w:val="auto"/>
                <w:sz w:val="24"/>
                <w:szCs w:val="24"/>
              </w:rPr>
            </w:pPr>
            <w:r w:rsidRPr="00B8772C">
              <w:rPr>
                <w:rFonts w:asciiTheme="minorHAnsi" w:hAnsiTheme="minorHAnsi" w:cstheme="minorHAnsi"/>
                <w:color w:val="auto"/>
                <w:sz w:val="24"/>
                <w:szCs w:val="24"/>
                <w:lang w:eastAsia="en-US"/>
              </w:rPr>
              <w:t>ODD</w:t>
            </w:r>
          </w:p>
        </w:tc>
        <w:tc>
          <w:tcPr>
            <w:tcW w:w="3574" w:type="pct"/>
            <w:shd w:val="clear" w:color="auto" w:fill="F2F2F2" w:themeFill="background1" w:themeFillShade="F2"/>
          </w:tcPr>
          <w:p w:rsidR="00D54C69" w:rsidRPr="001754BB" w:rsidRDefault="00D54C69" w:rsidP="0088575D">
            <w:pPr>
              <w:pStyle w:val="Tbltxt"/>
              <w:shd w:val="clear" w:color="auto" w:fill="DFE3E5" w:themeFill="background2"/>
              <w:spacing w:line="360" w:lineRule="auto"/>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4"/>
                <w:szCs w:val="24"/>
                <w:lang w:eastAsia="en-US"/>
              </w:rPr>
            </w:pPr>
            <w:r w:rsidRPr="001754BB">
              <w:rPr>
                <w:rFonts w:asciiTheme="minorHAnsi" w:hAnsiTheme="minorHAnsi" w:cstheme="minorHAnsi"/>
                <w:sz w:val="24"/>
                <w:szCs w:val="24"/>
                <w:lang w:eastAsia="en-US"/>
              </w:rPr>
              <w:t>Objectifs de Développement durable à l’horizon 2030</w:t>
            </w:r>
          </w:p>
        </w:tc>
      </w:tr>
      <w:tr w:rsidR="00D54C69" w:rsidRPr="00A929CE" w:rsidTr="0088575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26" w:type="pct"/>
            <w:shd w:val="clear" w:color="auto" w:fill="F2F2F2" w:themeFill="background1" w:themeFillShade="F2"/>
          </w:tcPr>
          <w:p w:rsidR="00D54C69" w:rsidRPr="00B8772C" w:rsidRDefault="00D54C69" w:rsidP="0088575D">
            <w:pPr>
              <w:pStyle w:val="Tbltxt"/>
              <w:shd w:val="clear" w:color="auto" w:fill="DFE3E5" w:themeFill="background2"/>
              <w:spacing w:line="360" w:lineRule="auto"/>
              <w:jc w:val="both"/>
              <w:rPr>
                <w:rFonts w:asciiTheme="minorHAnsi" w:hAnsiTheme="minorHAnsi" w:cstheme="minorHAnsi"/>
                <w:color w:val="auto"/>
                <w:sz w:val="24"/>
                <w:szCs w:val="24"/>
              </w:rPr>
            </w:pPr>
            <w:r w:rsidRPr="00B8772C">
              <w:rPr>
                <w:rFonts w:asciiTheme="minorHAnsi" w:hAnsiTheme="minorHAnsi" w:cstheme="minorHAnsi"/>
                <w:color w:val="auto"/>
                <w:sz w:val="24"/>
                <w:szCs w:val="24"/>
                <w:lang w:eastAsia="en-US"/>
              </w:rPr>
              <w:t>OMD</w:t>
            </w:r>
          </w:p>
        </w:tc>
        <w:tc>
          <w:tcPr>
            <w:tcW w:w="3574" w:type="pct"/>
            <w:shd w:val="clear" w:color="auto" w:fill="F2F2F2" w:themeFill="background1" w:themeFillShade="F2"/>
          </w:tcPr>
          <w:p w:rsidR="00D54C69" w:rsidRPr="001754BB" w:rsidRDefault="00D54C69" w:rsidP="0088575D">
            <w:pPr>
              <w:pStyle w:val="Tbltxt"/>
              <w:shd w:val="clear" w:color="auto" w:fill="DFE3E5" w:themeFill="background2"/>
              <w:spacing w:line="360" w:lineRule="auto"/>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4"/>
                <w:szCs w:val="24"/>
                <w:lang w:eastAsia="en-US"/>
              </w:rPr>
            </w:pPr>
            <w:r w:rsidRPr="001754BB">
              <w:rPr>
                <w:rFonts w:asciiTheme="minorHAnsi" w:hAnsiTheme="minorHAnsi" w:cstheme="minorHAnsi"/>
                <w:sz w:val="24"/>
                <w:szCs w:val="24"/>
                <w:lang w:eastAsia="en-US"/>
              </w:rPr>
              <w:t>Objectifs du Millénaire</w:t>
            </w:r>
            <w:r w:rsidR="00CE2994">
              <w:rPr>
                <w:rFonts w:asciiTheme="minorHAnsi" w:hAnsiTheme="minorHAnsi" w:cstheme="minorHAnsi"/>
                <w:sz w:val="24"/>
                <w:szCs w:val="24"/>
                <w:lang w:eastAsia="en-US"/>
              </w:rPr>
              <w:t xml:space="preserve"> </w:t>
            </w:r>
            <w:r w:rsidRPr="001754BB">
              <w:rPr>
                <w:rFonts w:asciiTheme="minorHAnsi" w:hAnsiTheme="minorHAnsi" w:cstheme="minorHAnsi"/>
                <w:sz w:val="24"/>
                <w:szCs w:val="24"/>
                <w:lang w:eastAsia="en-US"/>
              </w:rPr>
              <w:t>pour le Développement</w:t>
            </w:r>
          </w:p>
        </w:tc>
      </w:tr>
      <w:tr w:rsidR="00D54C69" w:rsidRPr="00A929CE" w:rsidTr="0088575D">
        <w:tc>
          <w:tcPr>
            <w:cnfStyle w:val="001000000000" w:firstRow="0" w:lastRow="0" w:firstColumn="1" w:lastColumn="0" w:oddVBand="0" w:evenVBand="0" w:oddHBand="0" w:evenHBand="0" w:firstRowFirstColumn="0" w:firstRowLastColumn="0" w:lastRowFirstColumn="0" w:lastRowLastColumn="0"/>
            <w:tcW w:w="1426" w:type="pct"/>
            <w:shd w:val="clear" w:color="auto" w:fill="F2F2F2" w:themeFill="background1" w:themeFillShade="F2"/>
          </w:tcPr>
          <w:p w:rsidR="00D54C69" w:rsidRPr="00B8772C" w:rsidRDefault="00D54C69" w:rsidP="0088575D">
            <w:pPr>
              <w:pStyle w:val="Tbltxt"/>
              <w:shd w:val="clear" w:color="auto" w:fill="DFE3E5" w:themeFill="background2"/>
              <w:spacing w:line="360" w:lineRule="auto"/>
              <w:jc w:val="both"/>
              <w:rPr>
                <w:rFonts w:asciiTheme="minorHAnsi" w:hAnsiTheme="minorHAnsi" w:cstheme="minorHAnsi"/>
                <w:color w:val="auto"/>
                <w:sz w:val="24"/>
                <w:szCs w:val="24"/>
                <w:lang w:eastAsia="en-US"/>
              </w:rPr>
            </w:pPr>
            <w:r w:rsidRPr="00B8772C">
              <w:rPr>
                <w:rFonts w:asciiTheme="minorHAnsi" w:hAnsiTheme="minorHAnsi" w:cstheme="minorHAnsi"/>
                <w:color w:val="auto"/>
                <w:sz w:val="24"/>
                <w:szCs w:val="24"/>
                <w:lang w:eastAsia="en-US"/>
              </w:rPr>
              <w:t>OMS</w:t>
            </w:r>
          </w:p>
        </w:tc>
        <w:tc>
          <w:tcPr>
            <w:tcW w:w="3574" w:type="pct"/>
            <w:shd w:val="clear" w:color="auto" w:fill="F2F2F2" w:themeFill="background1" w:themeFillShade="F2"/>
          </w:tcPr>
          <w:p w:rsidR="00D54C69" w:rsidRPr="001754BB" w:rsidRDefault="00D54C69" w:rsidP="0088575D">
            <w:pPr>
              <w:pStyle w:val="Tbltxt"/>
              <w:shd w:val="clear" w:color="auto" w:fill="DFE3E5" w:themeFill="background2"/>
              <w:spacing w:line="360" w:lineRule="auto"/>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4"/>
                <w:szCs w:val="24"/>
                <w:lang w:eastAsia="en-US"/>
              </w:rPr>
            </w:pPr>
            <w:r w:rsidRPr="001754BB">
              <w:rPr>
                <w:rFonts w:asciiTheme="minorHAnsi" w:hAnsiTheme="minorHAnsi" w:cstheme="minorHAnsi"/>
                <w:sz w:val="24"/>
                <w:szCs w:val="24"/>
                <w:lang w:eastAsia="en-US"/>
              </w:rPr>
              <w:t>Organisation Mondiale de la Santé</w:t>
            </w:r>
          </w:p>
        </w:tc>
      </w:tr>
      <w:tr w:rsidR="00D54C69" w:rsidRPr="00A929CE" w:rsidTr="0088575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26" w:type="pct"/>
            <w:shd w:val="clear" w:color="auto" w:fill="F2F2F2" w:themeFill="background1" w:themeFillShade="F2"/>
          </w:tcPr>
          <w:p w:rsidR="00D54C69" w:rsidRPr="00B8772C" w:rsidRDefault="00D54C69" w:rsidP="0088575D">
            <w:pPr>
              <w:pStyle w:val="Tbltxt"/>
              <w:shd w:val="clear" w:color="auto" w:fill="DFE3E5" w:themeFill="background2"/>
              <w:spacing w:line="360" w:lineRule="auto"/>
              <w:jc w:val="both"/>
              <w:rPr>
                <w:rFonts w:asciiTheme="minorHAnsi" w:hAnsiTheme="minorHAnsi" w:cstheme="minorHAnsi"/>
                <w:color w:val="auto"/>
                <w:sz w:val="24"/>
                <w:szCs w:val="24"/>
              </w:rPr>
            </w:pPr>
            <w:r w:rsidRPr="00B8772C">
              <w:rPr>
                <w:rFonts w:asciiTheme="minorHAnsi" w:hAnsiTheme="minorHAnsi" w:cstheme="minorHAnsi"/>
                <w:color w:val="auto"/>
                <w:sz w:val="24"/>
                <w:szCs w:val="24"/>
                <w:lang w:eastAsia="en-US"/>
              </w:rPr>
              <w:t>ONG</w:t>
            </w:r>
          </w:p>
        </w:tc>
        <w:tc>
          <w:tcPr>
            <w:tcW w:w="3574" w:type="pct"/>
            <w:shd w:val="clear" w:color="auto" w:fill="F2F2F2" w:themeFill="background1" w:themeFillShade="F2"/>
          </w:tcPr>
          <w:p w:rsidR="00D54C69" w:rsidRPr="001754BB" w:rsidRDefault="00D54C69" w:rsidP="0088575D">
            <w:pPr>
              <w:pStyle w:val="Tbltxt"/>
              <w:shd w:val="clear" w:color="auto" w:fill="DFE3E5" w:themeFill="background2"/>
              <w:spacing w:line="360" w:lineRule="auto"/>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4"/>
                <w:szCs w:val="24"/>
                <w:lang w:eastAsia="en-US"/>
              </w:rPr>
            </w:pPr>
            <w:r w:rsidRPr="001754BB">
              <w:rPr>
                <w:rFonts w:asciiTheme="minorHAnsi" w:hAnsiTheme="minorHAnsi" w:cstheme="minorHAnsi"/>
                <w:sz w:val="24"/>
                <w:szCs w:val="24"/>
                <w:lang w:eastAsia="en-US"/>
              </w:rPr>
              <w:t>Organisation Non Gouvernementale</w:t>
            </w:r>
          </w:p>
        </w:tc>
      </w:tr>
      <w:tr w:rsidR="00D54C69" w:rsidRPr="00A929CE" w:rsidTr="0088575D">
        <w:tc>
          <w:tcPr>
            <w:cnfStyle w:val="001000000000" w:firstRow="0" w:lastRow="0" w:firstColumn="1" w:lastColumn="0" w:oddVBand="0" w:evenVBand="0" w:oddHBand="0" w:evenHBand="0" w:firstRowFirstColumn="0" w:firstRowLastColumn="0" w:lastRowFirstColumn="0" w:lastRowLastColumn="0"/>
            <w:tcW w:w="1426" w:type="pct"/>
            <w:shd w:val="clear" w:color="auto" w:fill="F2F2F2" w:themeFill="background1" w:themeFillShade="F2"/>
          </w:tcPr>
          <w:p w:rsidR="00D54C69" w:rsidRPr="00A10A7F" w:rsidRDefault="00D54C69" w:rsidP="0088575D">
            <w:pPr>
              <w:pStyle w:val="Tbltxt"/>
              <w:shd w:val="clear" w:color="auto" w:fill="DFE3E5" w:themeFill="background2"/>
              <w:spacing w:line="360" w:lineRule="auto"/>
              <w:jc w:val="both"/>
              <w:rPr>
                <w:rFonts w:asciiTheme="minorHAnsi" w:hAnsiTheme="minorHAnsi" w:cstheme="minorHAnsi"/>
                <w:color w:val="auto"/>
                <w:sz w:val="24"/>
                <w:szCs w:val="24"/>
                <w:lang w:eastAsia="en-US"/>
              </w:rPr>
            </w:pPr>
            <w:r w:rsidRPr="00A10A7F">
              <w:rPr>
                <w:rFonts w:asciiTheme="minorHAnsi" w:hAnsiTheme="minorHAnsi" w:cstheme="minorHAnsi"/>
                <w:color w:val="auto"/>
                <w:sz w:val="24"/>
                <w:szCs w:val="24"/>
                <w:lang w:eastAsia="en-US"/>
              </w:rPr>
              <w:t>OSC</w:t>
            </w:r>
          </w:p>
        </w:tc>
        <w:tc>
          <w:tcPr>
            <w:tcW w:w="3574" w:type="pct"/>
            <w:shd w:val="clear" w:color="auto" w:fill="F2F2F2" w:themeFill="background1" w:themeFillShade="F2"/>
          </w:tcPr>
          <w:p w:rsidR="00D54C69" w:rsidRPr="001754BB" w:rsidRDefault="00D54C69" w:rsidP="0088575D">
            <w:pPr>
              <w:pStyle w:val="Tbltxt"/>
              <w:shd w:val="clear" w:color="auto" w:fill="DFE3E5" w:themeFill="background2"/>
              <w:spacing w:line="360" w:lineRule="auto"/>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4"/>
                <w:szCs w:val="24"/>
                <w:lang w:eastAsia="en-US"/>
              </w:rPr>
            </w:pPr>
            <w:r>
              <w:rPr>
                <w:rFonts w:asciiTheme="minorHAnsi" w:hAnsiTheme="minorHAnsi" w:cstheme="minorHAnsi"/>
                <w:sz w:val="24"/>
                <w:szCs w:val="24"/>
                <w:lang w:eastAsia="en-US"/>
              </w:rPr>
              <w:t>Organisations de la Société</w:t>
            </w:r>
            <w:r w:rsidR="00CE2994">
              <w:rPr>
                <w:rFonts w:asciiTheme="minorHAnsi" w:hAnsiTheme="minorHAnsi" w:cstheme="minorHAnsi"/>
                <w:sz w:val="24"/>
                <w:szCs w:val="24"/>
                <w:lang w:eastAsia="en-US"/>
              </w:rPr>
              <w:t xml:space="preserve"> </w:t>
            </w:r>
            <w:r>
              <w:rPr>
                <w:rFonts w:asciiTheme="minorHAnsi" w:hAnsiTheme="minorHAnsi" w:cstheme="minorHAnsi"/>
                <w:sz w:val="24"/>
                <w:szCs w:val="24"/>
                <w:lang w:eastAsia="en-US"/>
              </w:rPr>
              <w:t>Civile</w:t>
            </w:r>
          </w:p>
        </w:tc>
      </w:tr>
      <w:tr w:rsidR="00D54C69" w:rsidRPr="00A929CE" w:rsidTr="0088575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26" w:type="pct"/>
            <w:shd w:val="clear" w:color="auto" w:fill="F2F2F2" w:themeFill="background1" w:themeFillShade="F2"/>
          </w:tcPr>
          <w:p w:rsidR="00D54C69" w:rsidRPr="00B8772C" w:rsidRDefault="00D54C69" w:rsidP="0088575D">
            <w:pPr>
              <w:pStyle w:val="Tbltxt"/>
              <w:shd w:val="clear" w:color="auto" w:fill="DFE3E5" w:themeFill="background2"/>
              <w:spacing w:line="360" w:lineRule="auto"/>
              <w:jc w:val="both"/>
              <w:rPr>
                <w:rFonts w:asciiTheme="minorHAnsi" w:hAnsiTheme="minorHAnsi" w:cstheme="minorHAnsi"/>
                <w:color w:val="auto"/>
                <w:sz w:val="24"/>
                <w:szCs w:val="24"/>
                <w:lang w:eastAsia="en-US"/>
              </w:rPr>
            </w:pPr>
            <w:r w:rsidRPr="00B8772C">
              <w:rPr>
                <w:rFonts w:asciiTheme="minorHAnsi" w:hAnsiTheme="minorHAnsi" w:cstheme="minorHAnsi"/>
                <w:color w:val="auto"/>
                <w:sz w:val="24"/>
                <w:szCs w:val="24"/>
                <w:lang w:eastAsia="en-US"/>
              </w:rPr>
              <w:t>PDS</w:t>
            </w:r>
          </w:p>
        </w:tc>
        <w:tc>
          <w:tcPr>
            <w:tcW w:w="3574" w:type="pct"/>
            <w:shd w:val="clear" w:color="auto" w:fill="F2F2F2" w:themeFill="background1" w:themeFillShade="F2"/>
          </w:tcPr>
          <w:p w:rsidR="00D54C69" w:rsidRPr="001754BB" w:rsidRDefault="00D54C69" w:rsidP="0088575D">
            <w:pPr>
              <w:pStyle w:val="Tbltxt"/>
              <w:shd w:val="clear" w:color="auto" w:fill="DFE3E5" w:themeFill="background2"/>
              <w:spacing w:line="360" w:lineRule="auto"/>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4"/>
                <w:szCs w:val="24"/>
                <w:lang w:eastAsia="en-US"/>
              </w:rPr>
            </w:pPr>
            <w:r w:rsidRPr="001754BB">
              <w:rPr>
                <w:rFonts w:asciiTheme="minorHAnsi" w:hAnsiTheme="minorHAnsi" w:cstheme="minorHAnsi"/>
                <w:sz w:val="24"/>
                <w:szCs w:val="24"/>
                <w:lang w:eastAsia="en-US"/>
              </w:rPr>
              <w:t>Plan de Développement</w:t>
            </w:r>
            <w:r w:rsidR="00CE2994">
              <w:rPr>
                <w:rFonts w:asciiTheme="minorHAnsi" w:hAnsiTheme="minorHAnsi" w:cstheme="minorHAnsi"/>
                <w:sz w:val="24"/>
                <w:szCs w:val="24"/>
                <w:lang w:eastAsia="en-US"/>
              </w:rPr>
              <w:t xml:space="preserve"> </w:t>
            </w:r>
            <w:r w:rsidRPr="001754BB">
              <w:rPr>
                <w:rFonts w:asciiTheme="minorHAnsi" w:hAnsiTheme="minorHAnsi" w:cstheme="minorHAnsi"/>
                <w:sz w:val="24"/>
                <w:szCs w:val="24"/>
                <w:lang w:eastAsia="en-US"/>
              </w:rPr>
              <w:t>Economique et Social</w:t>
            </w:r>
          </w:p>
        </w:tc>
      </w:tr>
      <w:tr w:rsidR="00D54C69" w:rsidRPr="007B4568" w:rsidTr="0088575D">
        <w:tc>
          <w:tcPr>
            <w:cnfStyle w:val="001000000000" w:firstRow="0" w:lastRow="0" w:firstColumn="1" w:lastColumn="0" w:oddVBand="0" w:evenVBand="0" w:oddHBand="0" w:evenHBand="0" w:firstRowFirstColumn="0" w:firstRowLastColumn="0" w:lastRowFirstColumn="0" w:lastRowLastColumn="0"/>
            <w:tcW w:w="1426" w:type="pct"/>
            <w:shd w:val="clear" w:color="auto" w:fill="F2F2F2" w:themeFill="background1" w:themeFillShade="F2"/>
          </w:tcPr>
          <w:p w:rsidR="00D54C69" w:rsidRPr="00B8772C" w:rsidRDefault="00D54C69" w:rsidP="0088575D">
            <w:pPr>
              <w:pStyle w:val="Tbltxt"/>
              <w:shd w:val="clear" w:color="auto" w:fill="DFE3E5" w:themeFill="background2"/>
              <w:spacing w:line="360" w:lineRule="auto"/>
              <w:jc w:val="both"/>
              <w:rPr>
                <w:rFonts w:asciiTheme="minorHAnsi" w:hAnsiTheme="minorHAnsi" w:cstheme="minorHAnsi"/>
                <w:color w:val="auto"/>
                <w:sz w:val="24"/>
                <w:szCs w:val="24"/>
              </w:rPr>
            </w:pPr>
            <w:r w:rsidRPr="00B8772C">
              <w:rPr>
                <w:rFonts w:asciiTheme="minorHAnsi" w:hAnsiTheme="minorHAnsi" w:cstheme="minorHAnsi"/>
                <w:color w:val="auto"/>
                <w:sz w:val="24"/>
                <w:szCs w:val="24"/>
              </w:rPr>
              <w:t>PEFA</w:t>
            </w:r>
          </w:p>
        </w:tc>
        <w:tc>
          <w:tcPr>
            <w:tcW w:w="3574" w:type="pct"/>
            <w:shd w:val="clear" w:color="auto" w:fill="F2F2F2" w:themeFill="background1" w:themeFillShade="F2"/>
          </w:tcPr>
          <w:p w:rsidR="00D54C69" w:rsidRPr="001754BB" w:rsidRDefault="00D54C69" w:rsidP="0088575D">
            <w:pPr>
              <w:pStyle w:val="Tbltxt"/>
              <w:shd w:val="clear" w:color="auto" w:fill="DFE3E5" w:themeFill="background2"/>
              <w:spacing w:line="360" w:lineRule="auto"/>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4"/>
                <w:szCs w:val="24"/>
                <w:lang w:val="en-GB"/>
              </w:rPr>
            </w:pPr>
            <w:r w:rsidRPr="001754BB">
              <w:rPr>
                <w:rFonts w:asciiTheme="minorHAnsi" w:hAnsiTheme="minorHAnsi" w:cstheme="minorHAnsi"/>
                <w:sz w:val="24"/>
                <w:szCs w:val="24"/>
                <w:lang w:val="en-GB"/>
              </w:rPr>
              <w:t xml:space="preserve">Public Expenditure and Financial Accountability </w:t>
            </w:r>
          </w:p>
        </w:tc>
      </w:tr>
      <w:tr w:rsidR="00D54C69" w:rsidRPr="00A929CE" w:rsidTr="0088575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26" w:type="pct"/>
            <w:shd w:val="clear" w:color="auto" w:fill="F2F2F2" w:themeFill="background1" w:themeFillShade="F2"/>
          </w:tcPr>
          <w:p w:rsidR="00D54C69" w:rsidRPr="00B8772C" w:rsidRDefault="00D54C69" w:rsidP="0088575D">
            <w:pPr>
              <w:pStyle w:val="Tbltxt"/>
              <w:shd w:val="clear" w:color="auto" w:fill="DFE3E5" w:themeFill="background2"/>
              <w:spacing w:line="360" w:lineRule="auto"/>
              <w:jc w:val="both"/>
              <w:rPr>
                <w:rFonts w:asciiTheme="minorHAnsi" w:hAnsiTheme="minorHAnsi" w:cstheme="minorHAnsi"/>
                <w:color w:val="auto"/>
                <w:sz w:val="24"/>
                <w:szCs w:val="24"/>
              </w:rPr>
            </w:pPr>
            <w:r w:rsidRPr="00B8772C">
              <w:rPr>
                <w:rFonts w:asciiTheme="minorHAnsi" w:hAnsiTheme="minorHAnsi" w:cstheme="minorHAnsi"/>
                <w:color w:val="auto"/>
                <w:sz w:val="24"/>
                <w:szCs w:val="24"/>
              </w:rPr>
              <w:t>PEM</w:t>
            </w:r>
          </w:p>
        </w:tc>
        <w:tc>
          <w:tcPr>
            <w:tcW w:w="3574" w:type="pct"/>
            <w:shd w:val="clear" w:color="auto" w:fill="F2F2F2" w:themeFill="background1" w:themeFillShade="F2"/>
          </w:tcPr>
          <w:p w:rsidR="00D54C69" w:rsidRPr="001754BB" w:rsidRDefault="00D54C69" w:rsidP="0088575D">
            <w:pPr>
              <w:pStyle w:val="Tbltxt"/>
              <w:shd w:val="clear" w:color="auto" w:fill="DFE3E5" w:themeFill="background2"/>
              <w:spacing w:line="360" w:lineRule="auto"/>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4"/>
                <w:szCs w:val="24"/>
              </w:rPr>
            </w:pPr>
            <w:r w:rsidRPr="001754BB">
              <w:rPr>
                <w:rFonts w:asciiTheme="minorHAnsi" w:hAnsiTheme="minorHAnsi" w:cstheme="minorHAnsi"/>
                <w:sz w:val="24"/>
                <w:szCs w:val="24"/>
              </w:rPr>
              <w:t>Point d'Eau Moderne</w:t>
            </w:r>
          </w:p>
        </w:tc>
      </w:tr>
      <w:tr w:rsidR="00D54C69" w:rsidRPr="007B4568" w:rsidTr="0088575D">
        <w:tc>
          <w:tcPr>
            <w:cnfStyle w:val="001000000000" w:firstRow="0" w:lastRow="0" w:firstColumn="1" w:lastColumn="0" w:oddVBand="0" w:evenVBand="0" w:oddHBand="0" w:evenHBand="0" w:firstRowFirstColumn="0" w:firstRowLastColumn="0" w:lastRowFirstColumn="0" w:lastRowLastColumn="0"/>
            <w:tcW w:w="1426" w:type="pct"/>
            <w:shd w:val="clear" w:color="auto" w:fill="F2F2F2" w:themeFill="background1" w:themeFillShade="F2"/>
          </w:tcPr>
          <w:p w:rsidR="00D54C69" w:rsidRPr="00B8772C" w:rsidRDefault="00D54C69" w:rsidP="0088575D">
            <w:pPr>
              <w:pStyle w:val="Tbltxt"/>
              <w:shd w:val="clear" w:color="auto" w:fill="DFE3E5" w:themeFill="background2"/>
              <w:spacing w:line="360" w:lineRule="auto"/>
              <w:jc w:val="both"/>
              <w:rPr>
                <w:rFonts w:asciiTheme="minorHAnsi" w:hAnsiTheme="minorHAnsi" w:cstheme="minorHAnsi"/>
                <w:color w:val="auto"/>
                <w:sz w:val="24"/>
                <w:szCs w:val="24"/>
              </w:rPr>
            </w:pPr>
            <w:r w:rsidRPr="00B8772C">
              <w:rPr>
                <w:rFonts w:asciiTheme="minorHAnsi" w:hAnsiTheme="minorHAnsi" w:cstheme="minorHAnsi"/>
                <w:color w:val="auto"/>
                <w:sz w:val="24"/>
                <w:szCs w:val="24"/>
              </w:rPr>
              <w:t>PEMFAR</w:t>
            </w:r>
          </w:p>
        </w:tc>
        <w:tc>
          <w:tcPr>
            <w:tcW w:w="3574" w:type="pct"/>
            <w:shd w:val="clear" w:color="auto" w:fill="F2F2F2" w:themeFill="background1" w:themeFillShade="F2"/>
          </w:tcPr>
          <w:p w:rsidR="00D54C69" w:rsidRPr="001754BB" w:rsidRDefault="00D54C69" w:rsidP="0088575D">
            <w:pPr>
              <w:pStyle w:val="Tbltxt"/>
              <w:shd w:val="clear" w:color="auto" w:fill="DFE3E5" w:themeFill="background2"/>
              <w:spacing w:line="360" w:lineRule="auto"/>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4"/>
                <w:szCs w:val="24"/>
                <w:lang w:val="en-GB"/>
              </w:rPr>
            </w:pPr>
            <w:r w:rsidRPr="001754BB">
              <w:rPr>
                <w:rFonts w:asciiTheme="minorHAnsi" w:hAnsiTheme="minorHAnsi" w:cstheme="minorHAnsi"/>
                <w:sz w:val="24"/>
                <w:szCs w:val="24"/>
                <w:lang w:val="en-GB"/>
              </w:rPr>
              <w:t xml:space="preserve">Public Expenditure Management and Financial Accountability Review </w:t>
            </w:r>
          </w:p>
        </w:tc>
      </w:tr>
      <w:tr w:rsidR="00D54C69" w:rsidRPr="00A929CE" w:rsidTr="0088575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26" w:type="pct"/>
            <w:shd w:val="clear" w:color="auto" w:fill="F2F2F2" w:themeFill="background1" w:themeFillShade="F2"/>
          </w:tcPr>
          <w:p w:rsidR="00D54C69" w:rsidRPr="00B8772C" w:rsidRDefault="00D54C69" w:rsidP="0088575D">
            <w:pPr>
              <w:pStyle w:val="Tbltxt"/>
              <w:shd w:val="clear" w:color="auto" w:fill="DFE3E5" w:themeFill="background2"/>
              <w:spacing w:line="360" w:lineRule="auto"/>
              <w:jc w:val="both"/>
              <w:rPr>
                <w:rFonts w:asciiTheme="minorHAnsi" w:hAnsiTheme="minorHAnsi" w:cstheme="minorHAnsi"/>
                <w:color w:val="auto"/>
                <w:sz w:val="24"/>
                <w:szCs w:val="24"/>
                <w:lang w:eastAsia="en-US"/>
              </w:rPr>
            </w:pPr>
            <w:r w:rsidRPr="00B8772C">
              <w:rPr>
                <w:rFonts w:asciiTheme="minorHAnsi" w:hAnsiTheme="minorHAnsi" w:cstheme="minorHAnsi"/>
                <w:color w:val="auto"/>
                <w:sz w:val="24"/>
                <w:szCs w:val="24"/>
                <w:lang w:eastAsia="en-US"/>
              </w:rPr>
              <w:t>PEPA</w:t>
            </w:r>
          </w:p>
        </w:tc>
        <w:tc>
          <w:tcPr>
            <w:tcW w:w="3574" w:type="pct"/>
            <w:shd w:val="clear" w:color="auto" w:fill="F2F2F2" w:themeFill="background1" w:themeFillShade="F2"/>
          </w:tcPr>
          <w:p w:rsidR="00D54C69" w:rsidRPr="001754BB" w:rsidRDefault="00D54C69" w:rsidP="0088575D">
            <w:pPr>
              <w:pStyle w:val="Tbltxt"/>
              <w:shd w:val="clear" w:color="auto" w:fill="DFE3E5" w:themeFill="background2"/>
              <w:spacing w:line="360" w:lineRule="auto"/>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4"/>
                <w:szCs w:val="24"/>
                <w:lang w:eastAsia="en-US"/>
              </w:rPr>
            </w:pPr>
            <w:r w:rsidRPr="001754BB">
              <w:rPr>
                <w:rFonts w:asciiTheme="minorHAnsi" w:hAnsiTheme="minorHAnsi" w:cstheme="minorHAnsi"/>
                <w:sz w:val="24"/>
                <w:szCs w:val="24"/>
                <w:lang w:eastAsia="en-US"/>
              </w:rPr>
              <w:t>Programme d’Approvisionnement en Eau Potable et Assainissement</w:t>
            </w:r>
          </w:p>
        </w:tc>
      </w:tr>
      <w:tr w:rsidR="00D54C69" w:rsidRPr="00A929CE" w:rsidTr="0088575D">
        <w:tc>
          <w:tcPr>
            <w:cnfStyle w:val="001000000000" w:firstRow="0" w:lastRow="0" w:firstColumn="1" w:lastColumn="0" w:oddVBand="0" w:evenVBand="0" w:oddHBand="0" w:evenHBand="0" w:firstRowFirstColumn="0" w:firstRowLastColumn="0" w:lastRowFirstColumn="0" w:lastRowLastColumn="0"/>
            <w:tcW w:w="1426" w:type="pct"/>
            <w:shd w:val="clear" w:color="auto" w:fill="F2F2F2" w:themeFill="background1" w:themeFillShade="F2"/>
          </w:tcPr>
          <w:p w:rsidR="00D54C69" w:rsidRPr="00B8772C" w:rsidRDefault="00D54C69" w:rsidP="0088575D">
            <w:pPr>
              <w:pStyle w:val="Tbltxt"/>
              <w:shd w:val="clear" w:color="auto" w:fill="DFE3E5" w:themeFill="background2"/>
              <w:spacing w:line="360" w:lineRule="auto"/>
              <w:jc w:val="both"/>
              <w:rPr>
                <w:rFonts w:asciiTheme="minorHAnsi" w:hAnsiTheme="minorHAnsi" w:cstheme="minorHAnsi"/>
                <w:color w:val="auto"/>
                <w:sz w:val="24"/>
                <w:szCs w:val="24"/>
                <w:lang w:eastAsia="en-US"/>
              </w:rPr>
            </w:pPr>
            <w:r w:rsidRPr="00B8772C">
              <w:rPr>
                <w:rFonts w:asciiTheme="minorHAnsi" w:hAnsiTheme="minorHAnsi" w:cstheme="minorHAnsi"/>
                <w:color w:val="auto"/>
                <w:sz w:val="24"/>
                <w:szCs w:val="24"/>
                <w:lang w:eastAsia="en-US"/>
              </w:rPr>
              <w:t>PNA</w:t>
            </w:r>
          </w:p>
        </w:tc>
        <w:tc>
          <w:tcPr>
            <w:tcW w:w="3574" w:type="pct"/>
            <w:shd w:val="clear" w:color="auto" w:fill="F2F2F2" w:themeFill="background1" w:themeFillShade="F2"/>
          </w:tcPr>
          <w:p w:rsidR="00D54C69" w:rsidRPr="001754BB" w:rsidRDefault="00D54C69" w:rsidP="0088575D">
            <w:pPr>
              <w:pStyle w:val="Tbltxt"/>
              <w:shd w:val="clear" w:color="auto" w:fill="DFE3E5" w:themeFill="background2"/>
              <w:spacing w:line="360" w:lineRule="auto"/>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4"/>
                <w:szCs w:val="24"/>
                <w:lang w:eastAsia="en-US"/>
              </w:rPr>
            </w:pPr>
            <w:r w:rsidRPr="001754BB">
              <w:rPr>
                <w:rFonts w:asciiTheme="minorHAnsi" w:hAnsiTheme="minorHAnsi" w:cstheme="minorHAnsi"/>
                <w:sz w:val="24"/>
                <w:szCs w:val="24"/>
                <w:lang w:eastAsia="en-US"/>
              </w:rPr>
              <w:t>Politique Nationale d‘Assainissement</w:t>
            </w:r>
          </w:p>
        </w:tc>
      </w:tr>
      <w:tr w:rsidR="00D54C69" w:rsidRPr="00A929CE" w:rsidTr="0088575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26" w:type="pct"/>
            <w:shd w:val="clear" w:color="auto" w:fill="F2F2F2" w:themeFill="background1" w:themeFillShade="F2"/>
          </w:tcPr>
          <w:p w:rsidR="00D54C69" w:rsidRPr="00B8772C" w:rsidRDefault="00D54C69" w:rsidP="0088575D">
            <w:pPr>
              <w:pStyle w:val="Tbltxt"/>
              <w:shd w:val="clear" w:color="auto" w:fill="DFE3E5" w:themeFill="background2"/>
              <w:spacing w:line="360" w:lineRule="auto"/>
              <w:jc w:val="both"/>
              <w:rPr>
                <w:rFonts w:asciiTheme="minorHAnsi" w:hAnsiTheme="minorHAnsi" w:cstheme="minorHAnsi"/>
                <w:color w:val="auto"/>
                <w:sz w:val="24"/>
                <w:szCs w:val="24"/>
              </w:rPr>
            </w:pPr>
            <w:r w:rsidRPr="00B8772C">
              <w:rPr>
                <w:rFonts w:asciiTheme="minorHAnsi" w:hAnsiTheme="minorHAnsi" w:cstheme="minorHAnsi"/>
                <w:color w:val="auto"/>
                <w:sz w:val="24"/>
                <w:szCs w:val="24"/>
                <w:lang w:eastAsia="en-US"/>
              </w:rPr>
              <w:t>PNAEP</w:t>
            </w:r>
          </w:p>
        </w:tc>
        <w:tc>
          <w:tcPr>
            <w:tcW w:w="3574" w:type="pct"/>
            <w:shd w:val="clear" w:color="auto" w:fill="F2F2F2" w:themeFill="background1" w:themeFillShade="F2"/>
          </w:tcPr>
          <w:p w:rsidR="00D54C69" w:rsidRPr="001754BB" w:rsidRDefault="00D54C69" w:rsidP="0088575D">
            <w:pPr>
              <w:pStyle w:val="Tbltxt"/>
              <w:shd w:val="clear" w:color="auto" w:fill="DFE3E5" w:themeFill="background2"/>
              <w:spacing w:line="360" w:lineRule="auto"/>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4"/>
                <w:szCs w:val="24"/>
                <w:lang w:eastAsia="en-US"/>
              </w:rPr>
            </w:pPr>
            <w:r w:rsidRPr="001754BB">
              <w:rPr>
                <w:rFonts w:asciiTheme="minorHAnsi" w:hAnsiTheme="minorHAnsi" w:cstheme="minorHAnsi"/>
                <w:sz w:val="24"/>
                <w:szCs w:val="24"/>
                <w:lang w:eastAsia="en-US"/>
              </w:rPr>
              <w:t>Programme Nationale d’Approvisionnement en Eau Potable</w:t>
            </w:r>
          </w:p>
        </w:tc>
      </w:tr>
      <w:tr w:rsidR="00D54C69" w:rsidRPr="00A929CE" w:rsidTr="0088575D">
        <w:tc>
          <w:tcPr>
            <w:cnfStyle w:val="001000000000" w:firstRow="0" w:lastRow="0" w:firstColumn="1" w:lastColumn="0" w:oddVBand="0" w:evenVBand="0" w:oddHBand="0" w:evenHBand="0" w:firstRowFirstColumn="0" w:firstRowLastColumn="0" w:lastRowFirstColumn="0" w:lastRowLastColumn="0"/>
            <w:tcW w:w="1426" w:type="pct"/>
            <w:shd w:val="clear" w:color="auto" w:fill="F2F2F2" w:themeFill="background1" w:themeFillShade="F2"/>
          </w:tcPr>
          <w:p w:rsidR="00D54C69" w:rsidRPr="00B8772C" w:rsidRDefault="00D54C69" w:rsidP="0088575D">
            <w:pPr>
              <w:pStyle w:val="Tbltxt"/>
              <w:shd w:val="clear" w:color="auto" w:fill="DFE3E5" w:themeFill="background2"/>
              <w:spacing w:line="360" w:lineRule="auto"/>
              <w:jc w:val="both"/>
              <w:rPr>
                <w:rFonts w:asciiTheme="minorHAnsi" w:hAnsiTheme="minorHAnsi" w:cstheme="minorHAnsi"/>
                <w:color w:val="auto"/>
                <w:sz w:val="24"/>
                <w:szCs w:val="24"/>
              </w:rPr>
            </w:pPr>
            <w:r w:rsidRPr="00B8772C">
              <w:rPr>
                <w:rFonts w:asciiTheme="minorHAnsi" w:hAnsiTheme="minorHAnsi" w:cstheme="minorHAnsi"/>
                <w:color w:val="auto"/>
                <w:sz w:val="24"/>
                <w:szCs w:val="24"/>
              </w:rPr>
              <w:t>PROSEA</w:t>
            </w:r>
          </w:p>
        </w:tc>
        <w:tc>
          <w:tcPr>
            <w:tcW w:w="3574" w:type="pct"/>
            <w:shd w:val="clear" w:color="auto" w:fill="F2F2F2" w:themeFill="background1" w:themeFillShade="F2"/>
          </w:tcPr>
          <w:p w:rsidR="00D54C69" w:rsidRPr="001754BB" w:rsidRDefault="00D54C69" w:rsidP="0088575D">
            <w:pPr>
              <w:pStyle w:val="Tbltxt"/>
              <w:shd w:val="clear" w:color="auto" w:fill="DFE3E5" w:themeFill="background2"/>
              <w:spacing w:line="360" w:lineRule="auto"/>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4"/>
                <w:szCs w:val="24"/>
              </w:rPr>
            </w:pPr>
            <w:r w:rsidRPr="001754BB">
              <w:rPr>
                <w:rFonts w:asciiTheme="minorHAnsi" w:hAnsiTheme="minorHAnsi" w:cstheme="minorHAnsi"/>
                <w:sz w:val="24"/>
                <w:szCs w:val="24"/>
              </w:rPr>
              <w:t xml:space="preserve">Programme Sectoriel Eau et Assainissement </w:t>
            </w:r>
          </w:p>
        </w:tc>
      </w:tr>
      <w:tr w:rsidR="00D54C69" w:rsidRPr="00A929CE" w:rsidTr="0088575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26" w:type="pct"/>
            <w:shd w:val="clear" w:color="auto" w:fill="F2F2F2" w:themeFill="background1" w:themeFillShade="F2"/>
          </w:tcPr>
          <w:p w:rsidR="00D54C69" w:rsidRPr="00B8772C" w:rsidRDefault="00D54C69" w:rsidP="0088575D">
            <w:pPr>
              <w:pStyle w:val="Tbltxt"/>
              <w:shd w:val="clear" w:color="auto" w:fill="DFE3E5" w:themeFill="background2"/>
              <w:spacing w:line="360" w:lineRule="auto"/>
              <w:jc w:val="both"/>
              <w:rPr>
                <w:rFonts w:asciiTheme="minorHAnsi" w:hAnsiTheme="minorHAnsi" w:cstheme="minorHAnsi"/>
                <w:color w:val="auto"/>
                <w:sz w:val="24"/>
                <w:szCs w:val="24"/>
              </w:rPr>
            </w:pPr>
            <w:r w:rsidRPr="00B8772C">
              <w:rPr>
                <w:rFonts w:asciiTheme="minorHAnsi" w:hAnsiTheme="minorHAnsi" w:cstheme="minorHAnsi"/>
                <w:color w:val="auto"/>
                <w:sz w:val="24"/>
                <w:szCs w:val="24"/>
                <w:lang w:eastAsia="en-US"/>
              </w:rPr>
              <w:t>PROSEA I</w:t>
            </w:r>
          </w:p>
        </w:tc>
        <w:tc>
          <w:tcPr>
            <w:tcW w:w="3574" w:type="pct"/>
            <w:shd w:val="clear" w:color="auto" w:fill="F2F2F2" w:themeFill="background1" w:themeFillShade="F2"/>
          </w:tcPr>
          <w:p w:rsidR="00D54C69" w:rsidRPr="00112EE9" w:rsidRDefault="00D54C69" w:rsidP="0088575D">
            <w:pPr>
              <w:pStyle w:val="Tbltxt"/>
              <w:shd w:val="clear" w:color="auto" w:fill="DFE3E5" w:themeFill="background2"/>
              <w:spacing w:line="360" w:lineRule="auto"/>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4"/>
                <w:szCs w:val="24"/>
                <w:lang w:eastAsia="en-US"/>
              </w:rPr>
            </w:pPr>
            <w:r w:rsidRPr="001754BB">
              <w:rPr>
                <w:rFonts w:asciiTheme="minorHAnsi" w:hAnsiTheme="minorHAnsi" w:cstheme="minorHAnsi"/>
                <w:sz w:val="24"/>
                <w:szCs w:val="24"/>
                <w:lang w:eastAsia="en-US"/>
              </w:rPr>
              <w:t>Programme Sectoriel</w:t>
            </w:r>
            <w:r w:rsidR="00CE2994">
              <w:rPr>
                <w:rFonts w:asciiTheme="minorHAnsi" w:hAnsiTheme="minorHAnsi" w:cstheme="minorHAnsi"/>
                <w:sz w:val="24"/>
                <w:szCs w:val="24"/>
                <w:lang w:eastAsia="en-US"/>
              </w:rPr>
              <w:t xml:space="preserve"> </w:t>
            </w:r>
            <w:r w:rsidRPr="00BC7FF5">
              <w:rPr>
                <w:rFonts w:asciiTheme="minorHAnsi" w:hAnsiTheme="minorHAnsi" w:cstheme="minorHAnsi"/>
                <w:sz w:val="24"/>
                <w:szCs w:val="24"/>
                <w:lang w:eastAsia="en-US"/>
              </w:rPr>
              <w:t xml:space="preserve">Eau et </w:t>
            </w:r>
            <w:r w:rsidRPr="00112EE9">
              <w:rPr>
                <w:rFonts w:asciiTheme="minorHAnsi" w:hAnsiTheme="minorHAnsi" w:cstheme="minorHAnsi"/>
                <w:sz w:val="24"/>
                <w:szCs w:val="24"/>
                <w:lang w:eastAsia="en-US"/>
              </w:rPr>
              <w:t>Assainissement 2004-2015</w:t>
            </w:r>
          </w:p>
        </w:tc>
      </w:tr>
      <w:tr w:rsidR="00D54C69" w:rsidRPr="00A929CE" w:rsidTr="0088575D">
        <w:tc>
          <w:tcPr>
            <w:cnfStyle w:val="001000000000" w:firstRow="0" w:lastRow="0" w:firstColumn="1" w:lastColumn="0" w:oddVBand="0" w:evenVBand="0" w:oddHBand="0" w:evenHBand="0" w:firstRowFirstColumn="0" w:firstRowLastColumn="0" w:lastRowFirstColumn="0" w:lastRowLastColumn="0"/>
            <w:tcW w:w="1426" w:type="pct"/>
            <w:shd w:val="clear" w:color="auto" w:fill="F2F2F2" w:themeFill="background1" w:themeFillShade="F2"/>
          </w:tcPr>
          <w:p w:rsidR="00D54C69" w:rsidRPr="00B8772C" w:rsidRDefault="00D54C69" w:rsidP="0088575D">
            <w:pPr>
              <w:pStyle w:val="Tbltxt"/>
              <w:shd w:val="clear" w:color="auto" w:fill="DFE3E5" w:themeFill="background2"/>
              <w:spacing w:line="360" w:lineRule="auto"/>
              <w:jc w:val="both"/>
              <w:rPr>
                <w:rFonts w:asciiTheme="minorHAnsi" w:hAnsiTheme="minorHAnsi" w:cstheme="minorHAnsi"/>
                <w:color w:val="auto"/>
                <w:sz w:val="24"/>
                <w:szCs w:val="24"/>
              </w:rPr>
            </w:pPr>
            <w:r w:rsidRPr="00B8772C">
              <w:rPr>
                <w:rFonts w:asciiTheme="minorHAnsi" w:hAnsiTheme="minorHAnsi" w:cstheme="minorHAnsi"/>
                <w:color w:val="auto"/>
                <w:sz w:val="24"/>
                <w:szCs w:val="24"/>
                <w:lang w:eastAsia="en-US"/>
              </w:rPr>
              <w:t>PROSEA II</w:t>
            </w:r>
          </w:p>
        </w:tc>
        <w:tc>
          <w:tcPr>
            <w:tcW w:w="3574" w:type="pct"/>
            <w:shd w:val="clear" w:color="auto" w:fill="F2F2F2" w:themeFill="background1" w:themeFillShade="F2"/>
          </w:tcPr>
          <w:p w:rsidR="00D54C69" w:rsidRPr="00112EE9" w:rsidRDefault="00D54C69" w:rsidP="0088575D">
            <w:pPr>
              <w:pStyle w:val="Tbltxt"/>
              <w:shd w:val="clear" w:color="auto" w:fill="DFE3E5" w:themeFill="background2"/>
              <w:spacing w:line="360" w:lineRule="auto"/>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4"/>
                <w:szCs w:val="24"/>
                <w:lang w:eastAsia="en-US"/>
              </w:rPr>
            </w:pPr>
            <w:r w:rsidRPr="001754BB">
              <w:rPr>
                <w:rFonts w:asciiTheme="minorHAnsi" w:hAnsiTheme="minorHAnsi" w:cstheme="minorHAnsi"/>
                <w:sz w:val="24"/>
                <w:szCs w:val="24"/>
                <w:lang w:eastAsia="en-US"/>
              </w:rPr>
              <w:t>Programme Sectoriel</w:t>
            </w:r>
            <w:r w:rsidR="00CE2994">
              <w:rPr>
                <w:rFonts w:asciiTheme="minorHAnsi" w:hAnsiTheme="minorHAnsi" w:cstheme="minorHAnsi"/>
                <w:sz w:val="24"/>
                <w:szCs w:val="24"/>
                <w:lang w:eastAsia="en-US"/>
              </w:rPr>
              <w:t xml:space="preserve"> </w:t>
            </w:r>
            <w:r w:rsidRPr="00BC7FF5">
              <w:rPr>
                <w:rFonts w:asciiTheme="minorHAnsi" w:hAnsiTheme="minorHAnsi" w:cstheme="minorHAnsi"/>
                <w:sz w:val="24"/>
                <w:szCs w:val="24"/>
                <w:lang w:eastAsia="en-US"/>
              </w:rPr>
              <w:t xml:space="preserve">Eau et </w:t>
            </w:r>
            <w:r w:rsidRPr="00112EE9">
              <w:rPr>
                <w:rFonts w:asciiTheme="minorHAnsi" w:hAnsiTheme="minorHAnsi" w:cstheme="minorHAnsi"/>
                <w:sz w:val="24"/>
                <w:szCs w:val="24"/>
                <w:lang w:eastAsia="en-US"/>
              </w:rPr>
              <w:t>Assainissement 2017-2030</w:t>
            </w:r>
          </w:p>
        </w:tc>
      </w:tr>
      <w:tr w:rsidR="00D54C69" w:rsidRPr="00A929CE" w:rsidTr="0088575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26" w:type="pct"/>
            <w:shd w:val="clear" w:color="auto" w:fill="F2F2F2" w:themeFill="background1" w:themeFillShade="F2"/>
          </w:tcPr>
          <w:p w:rsidR="00D54C69" w:rsidRPr="00B8772C" w:rsidRDefault="00D54C69" w:rsidP="0088575D">
            <w:pPr>
              <w:pStyle w:val="Tbltxt"/>
              <w:shd w:val="clear" w:color="auto" w:fill="DFE3E5" w:themeFill="background2"/>
              <w:spacing w:line="360" w:lineRule="auto"/>
              <w:jc w:val="both"/>
              <w:rPr>
                <w:rFonts w:asciiTheme="minorHAnsi" w:hAnsiTheme="minorHAnsi" w:cstheme="minorHAnsi"/>
                <w:color w:val="auto"/>
                <w:sz w:val="24"/>
                <w:szCs w:val="24"/>
                <w:lang w:eastAsia="en-US"/>
              </w:rPr>
            </w:pPr>
            <w:r w:rsidRPr="00B8772C">
              <w:rPr>
                <w:rFonts w:asciiTheme="minorHAnsi" w:hAnsiTheme="minorHAnsi" w:cstheme="minorHAnsi"/>
                <w:color w:val="auto"/>
                <w:sz w:val="24"/>
                <w:szCs w:val="24"/>
                <w:lang w:eastAsia="en-US"/>
              </w:rPr>
              <w:t>PSA</w:t>
            </w:r>
          </w:p>
        </w:tc>
        <w:tc>
          <w:tcPr>
            <w:tcW w:w="3574" w:type="pct"/>
            <w:shd w:val="clear" w:color="auto" w:fill="F2F2F2" w:themeFill="background1" w:themeFillShade="F2"/>
          </w:tcPr>
          <w:p w:rsidR="00D54C69" w:rsidRPr="001754BB" w:rsidRDefault="00D54C69" w:rsidP="0088575D">
            <w:pPr>
              <w:pStyle w:val="Tbltxt"/>
              <w:shd w:val="clear" w:color="auto" w:fill="DFE3E5" w:themeFill="background2"/>
              <w:spacing w:line="360" w:lineRule="auto"/>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4"/>
                <w:szCs w:val="24"/>
                <w:lang w:eastAsia="en-US"/>
              </w:rPr>
            </w:pPr>
            <w:r w:rsidRPr="001754BB">
              <w:rPr>
                <w:rFonts w:asciiTheme="minorHAnsi" w:hAnsiTheme="minorHAnsi" w:cstheme="minorHAnsi"/>
                <w:sz w:val="24"/>
                <w:szCs w:val="24"/>
                <w:lang w:eastAsia="en-US"/>
              </w:rPr>
              <w:t>Plan Stratégique</w:t>
            </w:r>
            <w:r w:rsidR="00CE2994">
              <w:rPr>
                <w:rFonts w:asciiTheme="minorHAnsi" w:hAnsiTheme="minorHAnsi" w:cstheme="minorHAnsi"/>
                <w:sz w:val="24"/>
                <w:szCs w:val="24"/>
                <w:lang w:eastAsia="en-US"/>
              </w:rPr>
              <w:t xml:space="preserve"> </w:t>
            </w:r>
            <w:r w:rsidRPr="001754BB">
              <w:rPr>
                <w:rFonts w:asciiTheme="minorHAnsi" w:hAnsiTheme="minorHAnsi" w:cstheme="minorHAnsi"/>
                <w:sz w:val="24"/>
                <w:szCs w:val="24"/>
                <w:lang w:eastAsia="en-US"/>
              </w:rPr>
              <w:t>d‘Assainissement</w:t>
            </w:r>
          </w:p>
        </w:tc>
      </w:tr>
      <w:tr w:rsidR="00D54C69" w:rsidRPr="00A929CE" w:rsidTr="0088575D">
        <w:tc>
          <w:tcPr>
            <w:cnfStyle w:val="001000000000" w:firstRow="0" w:lastRow="0" w:firstColumn="1" w:lastColumn="0" w:oddVBand="0" w:evenVBand="0" w:oddHBand="0" w:evenHBand="0" w:firstRowFirstColumn="0" w:firstRowLastColumn="0" w:lastRowFirstColumn="0" w:lastRowLastColumn="0"/>
            <w:tcW w:w="1426" w:type="pct"/>
            <w:shd w:val="clear" w:color="auto" w:fill="F2F2F2" w:themeFill="background1" w:themeFillShade="F2"/>
          </w:tcPr>
          <w:p w:rsidR="00D54C69" w:rsidRPr="00B8772C" w:rsidRDefault="00D54C69" w:rsidP="0088575D">
            <w:pPr>
              <w:pStyle w:val="Tbltxt"/>
              <w:shd w:val="clear" w:color="auto" w:fill="DFE3E5" w:themeFill="background2"/>
              <w:spacing w:line="360" w:lineRule="auto"/>
              <w:jc w:val="both"/>
              <w:rPr>
                <w:rFonts w:asciiTheme="minorHAnsi" w:hAnsiTheme="minorHAnsi" w:cstheme="minorHAnsi"/>
                <w:color w:val="auto"/>
                <w:sz w:val="24"/>
                <w:szCs w:val="24"/>
                <w:lang w:eastAsia="en-US"/>
              </w:rPr>
            </w:pPr>
            <w:r w:rsidRPr="00B8772C">
              <w:rPr>
                <w:rFonts w:asciiTheme="minorHAnsi" w:hAnsiTheme="minorHAnsi" w:cstheme="minorHAnsi"/>
                <w:color w:val="auto"/>
                <w:sz w:val="24"/>
                <w:szCs w:val="24"/>
                <w:lang w:eastAsia="en-US"/>
              </w:rPr>
              <w:t>PTF</w:t>
            </w:r>
          </w:p>
        </w:tc>
        <w:tc>
          <w:tcPr>
            <w:tcW w:w="3574" w:type="pct"/>
            <w:shd w:val="clear" w:color="auto" w:fill="F2F2F2" w:themeFill="background1" w:themeFillShade="F2"/>
          </w:tcPr>
          <w:p w:rsidR="00D54C69" w:rsidRPr="00112EE9" w:rsidRDefault="00D54C69" w:rsidP="0088575D">
            <w:pPr>
              <w:pStyle w:val="Tbltxt"/>
              <w:shd w:val="clear" w:color="auto" w:fill="DFE3E5" w:themeFill="background2"/>
              <w:spacing w:line="360" w:lineRule="auto"/>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4"/>
                <w:szCs w:val="24"/>
                <w:lang w:eastAsia="en-US"/>
              </w:rPr>
            </w:pPr>
            <w:r w:rsidRPr="001754BB">
              <w:rPr>
                <w:rFonts w:asciiTheme="minorHAnsi" w:hAnsiTheme="minorHAnsi" w:cstheme="minorHAnsi"/>
                <w:sz w:val="24"/>
                <w:szCs w:val="24"/>
                <w:lang w:eastAsia="en-US"/>
              </w:rPr>
              <w:t>Partenaires</w:t>
            </w:r>
            <w:r w:rsidR="00CE2994">
              <w:rPr>
                <w:rFonts w:asciiTheme="minorHAnsi" w:hAnsiTheme="minorHAnsi" w:cstheme="minorHAnsi"/>
                <w:sz w:val="24"/>
                <w:szCs w:val="24"/>
                <w:lang w:eastAsia="en-US"/>
              </w:rPr>
              <w:t xml:space="preserve"> </w:t>
            </w:r>
            <w:r w:rsidRPr="001754BB">
              <w:rPr>
                <w:rFonts w:asciiTheme="minorHAnsi" w:hAnsiTheme="minorHAnsi" w:cstheme="minorHAnsi"/>
                <w:sz w:val="24"/>
                <w:szCs w:val="24"/>
                <w:lang w:eastAsia="en-US"/>
              </w:rPr>
              <w:t>Technique</w:t>
            </w:r>
            <w:r w:rsidRPr="00BC7FF5">
              <w:rPr>
                <w:rFonts w:asciiTheme="minorHAnsi" w:hAnsiTheme="minorHAnsi" w:cstheme="minorHAnsi"/>
                <w:sz w:val="24"/>
                <w:szCs w:val="24"/>
                <w:lang w:eastAsia="en-US"/>
              </w:rPr>
              <w:t>s et Financier</w:t>
            </w:r>
            <w:r w:rsidRPr="00112EE9">
              <w:rPr>
                <w:rFonts w:asciiTheme="minorHAnsi" w:hAnsiTheme="minorHAnsi" w:cstheme="minorHAnsi"/>
                <w:sz w:val="24"/>
                <w:szCs w:val="24"/>
                <w:lang w:eastAsia="en-US"/>
              </w:rPr>
              <w:t>s</w:t>
            </w:r>
          </w:p>
        </w:tc>
      </w:tr>
      <w:tr w:rsidR="00D54C69" w:rsidRPr="00A929CE" w:rsidTr="0088575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26" w:type="pct"/>
            <w:shd w:val="clear" w:color="auto" w:fill="F2F2F2" w:themeFill="background1" w:themeFillShade="F2"/>
          </w:tcPr>
          <w:p w:rsidR="00D54C69" w:rsidRPr="00B8772C" w:rsidRDefault="00D54C69" w:rsidP="0088575D">
            <w:pPr>
              <w:pStyle w:val="Tbltxt"/>
              <w:shd w:val="clear" w:color="auto" w:fill="DFE3E5" w:themeFill="background2"/>
              <w:spacing w:line="360" w:lineRule="auto"/>
              <w:jc w:val="both"/>
              <w:rPr>
                <w:rFonts w:asciiTheme="minorHAnsi" w:hAnsiTheme="minorHAnsi" w:cstheme="minorHAnsi"/>
                <w:color w:val="auto"/>
                <w:sz w:val="24"/>
                <w:szCs w:val="24"/>
              </w:rPr>
            </w:pPr>
            <w:r w:rsidRPr="00B8772C">
              <w:rPr>
                <w:rFonts w:asciiTheme="minorHAnsi" w:hAnsiTheme="minorHAnsi" w:cstheme="minorHAnsi"/>
                <w:color w:val="auto"/>
                <w:sz w:val="24"/>
                <w:szCs w:val="24"/>
              </w:rPr>
              <w:t>SACPN</w:t>
            </w:r>
          </w:p>
        </w:tc>
        <w:tc>
          <w:tcPr>
            <w:tcW w:w="3574" w:type="pct"/>
            <w:shd w:val="clear" w:color="auto" w:fill="F2F2F2" w:themeFill="background1" w:themeFillShade="F2"/>
          </w:tcPr>
          <w:p w:rsidR="00D54C69" w:rsidRPr="001754BB" w:rsidRDefault="00D54C69" w:rsidP="0088575D">
            <w:pPr>
              <w:pStyle w:val="Tbltxt"/>
              <w:shd w:val="clear" w:color="auto" w:fill="DFE3E5" w:themeFill="background2"/>
              <w:spacing w:line="360" w:lineRule="auto"/>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4"/>
                <w:szCs w:val="24"/>
              </w:rPr>
            </w:pPr>
            <w:r w:rsidRPr="001754BB">
              <w:rPr>
                <w:rFonts w:asciiTheme="minorHAnsi" w:hAnsiTheme="minorHAnsi" w:cstheme="minorHAnsi"/>
                <w:sz w:val="24"/>
                <w:szCs w:val="24"/>
              </w:rPr>
              <w:t>Service d’Assainissement et du Contrôle des Pollutions et des Nuisances</w:t>
            </w:r>
          </w:p>
        </w:tc>
      </w:tr>
      <w:tr w:rsidR="00D54C69" w:rsidRPr="00A929CE" w:rsidTr="0088575D">
        <w:tc>
          <w:tcPr>
            <w:cnfStyle w:val="001000000000" w:firstRow="0" w:lastRow="0" w:firstColumn="1" w:lastColumn="0" w:oddVBand="0" w:evenVBand="0" w:oddHBand="0" w:evenHBand="0" w:firstRowFirstColumn="0" w:firstRowLastColumn="0" w:lastRowFirstColumn="0" w:lastRowLastColumn="0"/>
            <w:tcW w:w="1426" w:type="pct"/>
            <w:shd w:val="clear" w:color="auto" w:fill="F2F2F2" w:themeFill="background1" w:themeFillShade="F2"/>
          </w:tcPr>
          <w:p w:rsidR="00D54C69" w:rsidRPr="00B8772C" w:rsidRDefault="00D54C69" w:rsidP="0088575D">
            <w:pPr>
              <w:pStyle w:val="Tbltxt"/>
              <w:shd w:val="clear" w:color="auto" w:fill="DFE3E5" w:themeFill="background2"/>
              <w:spacing w:line="360" w:lineRule="auto"/>
              <w:jc w:val="both"/>
              <w:rPr>
                <w:rFonts w:asciiTheme="minorHAnsi" w:hAnsiTheme="minorHAnsi" w:cstheme="minorHAnsi"/>
                <w:color w:val="auto"/>
                <w:sz w:val="24"/>
                <w:szCs w:val="24"/>
              </w:rPr>
            </w:pPr>
            <w:r w:rsidRPr="00B8772C">
              <w:rPr>
                <w:rFonts w:asciiTheme="minorHAnsi" w:hAnsiTheme="minorHAnsi" w:cstheme="minorHAnsi"/>
                <w:color w:val="auto"/>
                <w:sz w:val="24"/>
                <w:szCs w:val="24"/>
                <w:lang w:eastAsia="en-US"/>
              </w:rPr>
              <w:t>SDA</w:t>
            </w:r>
          </w:p>
        </w:tc>
        <w:tc>
          <w:tcPr>
            <w:tcW w:w="3574" w:type="pct"/>
            <w:shd w:val="clear" w:color="auto" w:fill="F2F2F2" w:themeFill="background1" w:themeFillShade="F2"/>
          </w:tcPr>
          <w:p w:rsidR="00D54C69" w:rsidRPr="001754BB" w:rsidRDefault="00D54C69" w:rsidP="0088575D">
            <w:pPr>
              <w:pStyle w:val="Tbltxt"/>
              <w:shd w:val="clear" w:color="auto" w:fill="DFE3E5" w:themeFill="background2"/>
              <w:spacing w:line="360" w:lineRule="auto"/>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4"/>
                <w:szCs w:val="24"/>
                <w:lang w:eastAsia="en-US"/>
              </w:rPr>
            </w:pPr>
            <w:r w:rsidRPr="001754BB">
              <w:rPr>
                <w:rFonts w:asciiTheme="minorHAnsi" w:hAnsiTheme="minorHAnsi" w:cstheme="minorHAnsi"/>
                <w:sz w:val="24"/>
                <w:szCs w:val="24"/>
                <w:lang w:eastAsia="en-US"/>
              </w:rPr>
              <w:t>Schéma</w:t>
            </w:r>
            <w:r w:rsidR="00CE2994">
              <w:rPr>
                <w:rFonts w:asciiTheme="minorHAnsi" w:hAnsiTheme="minorHAnsi" w:cstheme="minorHAnsi"/>
                <w:sz w:val="24"/>
                <w:szCs w:val="24"/>
                <w:lang w:eastAsia="en-US"/>
              </w:rPr>
              <w:t xml:space="preserve"> </w:t>
            </w:r>
            <w:r w:rsidRPr="001754BB">
              <w:rPr>
                <w:rFonts w:asciiTheme="minorHAnsi" w:hAnsiTheme="minorHAnsi" w:cstheme="minorHAnsi"/>
                <w:sz w:val="24"/>
                <w:szCs w:val="24"/>
                <w:lang w:eastAsia="en-US"/>
              </w:rPr>
              <w:t>Directeur</w:t>
            </w:r>
            <w:r w:rsidR="00CE2994">
              <w:rPr>
                <w:rFonts w:asciiTheme="minorHAnsi" w:hAnsiTheme="minorHAnsi" w:cstheme="minorHAnsi"/>
                <w:sz w:val="24"/>
                <w:szCs w:val="24"/>
                <w:lang w:eastAsia="en-US"/>
              </w:rPr>
              <w:t xml:space="preserve"> </w:t>
            </w:r>
            <w:r w:rsidRPr="001754BB">
              <w:rPr>
                <w:rFonts w:asciiTheme="minorHAnsi" w:hAnsiTheme="minorHAnsi" w:cstheme="minorHAnsi"/>
                <w:sz w:val="24"/>
                <w:szCs w:val="24"/>
                <w:lang w:eastAsia="en-US"/>
              </w:rPr>
              <w:t>d’Assainissement</w:t>
            </w:r>
          </w:p>
        </w:tc>
      </w:tr>
      <w:tr w:rsidR="00D54C69" w:rsidRPr="00A929CE" w:rsidTr="0088575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26" w:type="pct"/>
            <w:shd w:val="clear" w:color="auto" w:fill="F2F2F2" w:themeFill="background1" w:themeFillShade="F2"/>
          </w:tcPr>
          <w:p w:rsidR="00D54C69" w:rsidRPr="00B8772C" w:rsidRDefault="00D54C69" w:rsidP="0088575D">
            <w:pPr>
              <w:pStyle w:val="Tbltxt"/>
              <w:shd w:val="clear" w:color="auto" w:fill="DFE3E5" w:themeFill="background2"/>
              <w:spacing w:line="360" w:lineRule="auto"/>
              <w:jc w:val="both"/>
              <w:rPr>
                <w:rFonts w:asciiTheme="minorHAnsi" w:hAnsiTheme="minorHAnsi" w:cstheme="minorHAnsi"/>
                <w:color w:val="auto"/>
                <w:sz w:val="24"/>
                <w:szCs w:val="24"/>
                <w:lang w:eastAsia="en-US"/>
              </w:rPr>
            </w:pPr>
            <w:r w:rsidRPr="00B8772C">
              <w:rPr>
                <w:rFonts w:asciiTheme="minorHAnsi" w:hAnsiTheme="minorHAnsi" w:cstheme="minorHAnsi"/>
                <w:color w:val="auto"/>
                <w:sz w:val="24"/>
                <w:szCs w:val="24"/>
                <w:lang w:eastAsia="en-US"/>
              </w:rPr>
              <w:t>SOMAGEP-SA</w:t>
            </w:r>
          </w:p>
        </w:tc>
        <w:tc>
          <w:tcPr>
            <w:tcW w:w="3574" w:type="pct"/>
            <w:shd w:val="clear" w:color="auto" w:fill="F2F2F2" w:themeFill="background1" w:themeFillShade="F2"/>
          </w:tcPr>
          <w:p w:rsidR="00D54C69" w:rsidRPr="001754BB" w:rsidRDefault="00D54C69" w:rsidP="0088575D">
            <w:pPr>
              <w:pStyle w:val="Tbltxt"/>
              <w:shd w:val="clear" w:color="auto" w:fill="DFE3E5" w:themeFill="background2"/>
              <w:spacing w:line="360" w:lineRule="auto"/>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4"/>
                <w:szCs w:val="24"/>
                <w:lang w:eastAsia="en-US"/>
              </w:rPr>
            </w:pPr>
            <w:r w:rsidRPr="001754BB">
              <w:rPr>
                <w:rFonts w:asciiTheme="minorHAnsi" w:hAnsiTheme="minorHAnsi" w:cstheme="minorHAnsi"/>
                <w:sz w:val="24"/>
                <w:szCs w:val="24"/>
                <w:lang w:eastAsia="en-US"/>
              </w:rPr>
              <w:t>Société</w:t>
            </w:r>
            <w:r w:rsidR="00CE2994">
              <w:rPr>
                <w:rFonts w:asciiTheme="minorHAnsi" w:hAnsiTheme="minorHAnsi" w:cstheme="minorHAnsi"/>
                <w:sz w:val="24"/>
                <w:szCs w:val="24"/>
                <w:lang w:eastAsia="en-US"/>
              </w:rPr>
              <w:t xml:space="preserve"> </w:t>
            </w:r>
            <w:r w:rsidRPr="001754BB">
              <w:rPr>
                <w:rFonts w:asciiTheme="minorHAnsi" w:hAnsiTheme="minorHAnsi" w:cstheme="minorHAnsi"/>
                <w:sz w:val="24"/>
                <w:szCs w:val="24"/>
                <w:lang w:eastAsia="en-US"/>
              </w:rPr>
              <w:t>Malienne de Gestion de l’Eau</w:t>
            </w:r>
            <w:r w:rsidR="00CE2994">
              <w:rPr>
                <w:rFonts w:asciiTheme="minorHAnsi" w:hAnsiTheme="minorHAnsi" w:cstheme="minorHAnsi"/>
                <w:sz w:val="24"/>
                <w:szCs w:val="24"/>
                <w:lang w:eastAsia="en-US"/>
              </w:rPr>
              <w:t xml:space="preserve"> </w:t>
            </w:r>
            <w:r w:rsidRPr="001754BB">
              <w:rPr>
                <w:rFonts w:asciiTheme="minorHAnsi" w:hAnsiTheme="minorHAnsi" w:cstheme="minorHAnsi"/>
                <w:sz w:val="24"/>
                <w:szCs w:val="24"/>
                <w:lang w:eastAsia="en-US"/>
              </w:rPr>
              <w:t>Potable – Société anonyme</w:t>
            </w:r>
          </w:p>
        </w:tc>
      </w:tr>
      <w:tr w:rsidR="00D54C69" w:rsidRPr="00A929CE" w:rsidTr="0088575D">
        <w:tc>
          <w:tcPr>
            <w:cnfStyle w:val="001000000000" w:firstRow="0" w:lastRow="0" w:firstColumn="1" w:lastColumn="0" w:oddVBand="0" w:evenVBand="0" w:oddHBand="0" w:evenHBand="0" w:firstRowFirstColumn="0" w:firstRowLastColumn="0" w:lastRowFirstColumn="0" w:lastRowLastColumn="0"/>
            <w:tcW w:w="1426" w:type="pct"/>
            <w:shd w:val="clear" w:color="auto" w:fill="F2F2F2" w:themeFill="background1" w:themeFillShade="F2"/>
          </w:tcPr>
          <w:p w:rsidR="00D54C69" w:rsidRPr="00B8772C" w:rsidRDefault="00D54C69" w:rsidP="0088575D">
            <w:pPr>
              <w:pStyle w:val="Tbltxt"/>
              <w:shd w:val="clear" w:color="auto" w:fill="DFE3E5" w:themeFill="background2"/>
              <w:spacing w:line="360" w:lineRule="auto"/>
              <w:jc w:val="both"/>
              <w:rPr>
                <w:rFonts w:asciiTheme="minorHAnsi" w:hAnsiTheme="minorHAnsi" w:cstheme="minorHAnsi"/>
                <w:color w:val="auto"/>
                <w:sz w:val="24"/>
                <w:szCs w:val="24"/>
                <w:lang w:eastAsia="en-US"/>
              </w:rPr>
            </w:pPr>
            <w:r w:rsidRPr="00B8772C">
              <w:rPr>
                <w:rFonts w:asciiTheme="minorHAnsi" w:hAnsiTheme="minorHAnsi" w:cstheme="minorHAnsi"/>
                <w:color w:val="auto"/>
                <w:sz w:val="24"/>
                <w:szCs w:val="24"/>
                <w:lang w:eastAsia="en-US"/>
              </w:rPr>
              <w:t>SOMAPEP-SA.</w:t>
            </w:r>
          </w:p>
        </w:tc>
        <w:tc>
          <w:tcPr>
            <w:tcW w:w="3574" w:type="pct"/>
            <w:shd w:val="clear" w:color="auto" w:fill="F2F2F2" w:themeFill="background1" w:themeFillShade="F2"/>
          </w:tcPr>
          <w:p w:rsidR="00D54C69" w:rsidRPr="001754BB" w:rsidRDefault="00D54C69" w:rsidP="0088575D">
            <w:pPr>
              <w:pStyle w:val="Tbltxt"/>
              <w:shd w:val="clear" w:color="auto" w:fill="DFE3E5" w:themeFill="background2"/>
              <w:spacing w:line="360" w:lineRule="auto"/>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4"/>
                <w:szCs w:val="24"/>
                <w:lang w:eastAsia="en-US"/>
              </w:rPr>
            </w:pPr>
            <w:r w:rsidRPr="001754BB">
              <w:rPr>
                <w:rFonts w:asciiTheme="minorHAnsi" w:hAnsiTheme="minorHAnsi" w:cstheme="minorHAnsi"/>
                <w:sz w:val="24"/>
                <w:szCs w:val="24"/>
                <w:lang w:eastAsia="en-US"/>
              </w:rPr>
              <w:t>Société</w:t>
            </w:r>
            <w:r w:rsidR="00CE2994">
              <w:rPr>
                <w:rFonts w:asciiTheme="minorHAnsi" w:hAnsiTheme="minorHAnsi" w:cstheme="minorHAnsi"/>
                <w:sz w:val="24"/>
                <w:szCs w:val="24"/>
                <w:lang w:eastAsia="en-US"/>
              </w:rPr>
              <w:t xml:space="preserve"> </w:t>
            </w:r>
            <w:r w:rsidRPr="001754BB">
              <w:rPr>
                <w:rFonts w:asciiTheme="minorHAnsi" w:hAnsiTheme="minorHAnsi" w:cstheme="minorHAnsi"/>
                <w:sz w:val="24"/>
                <w:szCs w:val="24"/>
                <w:lang w:eastAsia="en-US"/>
              </w:rPr>
              <w:t>Malienne de Patrimoine de l’Eau</w:t>
            </w:r>
            <w:r w:rsidR="00CE2994">
              <w:rPr>
                <w:rFonts w:asciiTheme="minorHAnsi" w:hAnsiTheme="minorHAnsi" w:cstheme="minorHAnsi"/>
                <w:sz w:val="24"/>
                <w:szCs w:val="24"/>
                <w:lang w:eastAsia="en-US"/>
              </w:rPr>
              <w:t xml:space="preserve"> </w:t>
            </w:r>
            <w:r w:rsidRPr="001754BB">
              <w:rPr>
                <w:rFonts w:asciiTheme="minorHAnsi" w:hAnsiTheme="minorHAnsi" w:cstheme="minorHAnsi"/>
                <w:sz w:val="24"/>
                <w:szCs w:val="24"/>
                <w:lang w:eastAsia="en-US"/>
              </w:rPr>
              <w:t>Potable– Société anonyme</w:t>
            </w:r>
          </w:p>
        </w:tc>
      </w:tr>
      <w:tr w:rsidR="00D54C69" w:rsidRPr="00A929CE" w:rsidTr="0088575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26" w:type="pct"/>
            <w:shd w:val="clear" w:color="auto" w:fill="F2F2F2" w:themeFill="background1" w:themeFillShade="F2"/>
          </w:tcPr>
          <w:p w:rsidR="00D54C69" w:rsidRPr="00B8772C" w:rsidRDefault="00D54C69" w:rsidP="0088575D">
            <w:pPr>
              <w:pStyle w:val="Tbltxt"/>
              <w:shd w:val="clear" w:color="auto" w:fill="DFE3E5" w:themeFill="background2"/>
              <w:spacing w:line="360" w:lineRule="auto"/>
              <w:jc w:val="both"/>
              <w:rPr>
                <w:rFonts w:asciiTheme="minorHAnsi" w:hAnsiTheme="minorHAnsi" w:cstheme="minorHAnsi"/>
                <w:color w:val="auto"/>
                <w:sz w:val="24"/>
                <w:szCs w:val="24"/>
              </w:rPr>
            </w:pPr>
            <w:r w:rsidRPr="00B8772C">
              <w:rPr>
                <w:rFonts w:asciiTheme="minorHAnsi" w:hAnsiTheme="minorHAnsi" w:cstheme="minorHAnsi"/>
                <w:color w:val="auto"/>
                <w:sz w:val="24"/>
                <w:szCs w:val="24"/>
              </w:rPr>
              <w:t>SWA</w:t>
            </w:r>
          </w:p>
        </w:tc>
        <w:tc>
          <w:tcPr>
            <w:tcW w:w="3574" w:type="pct"/>
            <w:shd w:val="clear" w:color="auto" w:fill="F2F2F2" w:themeFill="background1" w:themeFillShade="F2"/>
          </w:tcPr>
          <w:p w:rsidR="00D54C69" w:rsidRPr="001754BB" w:rsidRDefault="00D54C69" w:rsidP="0088575D">
            <w:pPr>
              <w:pStyle w:val="Tbltxt"/>
              <w:shd w:val="clear" w:color="auto" w:fill="DFE3E5" w:themeFill="background2"/>
              <w:spacing w:line="360" w:lineRule="auto"/>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4"/>
                <w:szCs w:val="24"/>
              </w:rPr>
            </w:pPr>
            <w:r w:rsidRPr="001754BB">
              <w:rPr>
                <w:rFonts w:asciiTheme="minorHAnsi" w:hAnsiTheme="minorHAnsi" w:cstheme="minorHAnsi"/>
                <w:sz w:val="24"/>
                <w:szCs w:val="24"/>
              </w:rPr>
              <w:t>Sanitation</w:t>
            </w:r>
            <w:r w:rsidR="00CE2994">
              <w:rPr>
                <w:rFonts w:asciiTheme="minorHAnsi" w:hAnsiTheme="minorHAnsi" w:cstheme="minorHAnsi"/>
                <w:sz w:val="24"/>
                <w:szCs w:val="24"/>
              </w:rPr>
              <w:t xml:space="preserve"> </w:t>
            </w:r>
            <w:r w:rsidRPr="001754BB">
              <w:rPr>
                <w:rFonts w:asciiTheme="minorHAnsi" w:hAnsiTheme="minorHAnsi" w:cstheme="minorHAnsi"/>
                <w:sz w:val="24"/>
                <w:szCs w:val="24"/>
              </w:rPr>
              <w:t>&amp;</w:t>
            </w:r>
            <w:r w:rsidR="00CE2994">
              <w:rPr>
                <w:rFonts w:asciiTheme="minorHAnsi" w:hAnsiTheme="minorHAnsi" w:cstheme="minorHAnsi"/>
                <w:sz w:val="24"/>
                <w:szCs w:val="24"/>
              </w:rPr>
              <w:t xml:space="preserve"> </w:t>
            </w:r>
            <w:r w:rsidRPr="001754BB">
              <w:rPr>
                <w:rFonts w:asciiTheme="minorHAnsi" w:hAnsiTheme="minorHAnsi" w:cstheme="minorHAnsi"/>
                <w:sz w:val="24"/>
                <w:szCs w:val="24"/>
              </w:rPr>
              <w:t>Water</w:t>
            </w:r>
            <w:r w:rsidR="00CE2994">
              <w:rPr>
                <w:rFonts w:asciiTheme="minorHAnsi" w:hAnsiTheme="minorHAnsi" w:cstheme="minorHAnsi"/>
                <w:sz w:val="24"/>
                <w:szCs w:val="24"/>
              </w:rPr>
              <w:t xml:space="preserve"> </w:t>
            </w:r>
            <w:r w:rsidRPr="001754BB">
              <w:rPr>
                <w:rFonts w:asciiTheme="minorHAnsi" w:hAnsiTheme="minorHAnsi" w:cstheme="minorHAnsi"/>
                <w:sz w:val="24"/>
                <w:szCs w:val="24"/>
              </w:rPr>
              <w:t>for All</w:t>
            </w:r>
          </w:p>
        </w:tc>
      </w:tr>
      <w:tr w:rsidR="00D54C69" w:rsidRPr="00A929CE" w:rsidTr="0088575D">
        <w:tc>
          <w:tcPr>
            <w:cnfStyle w:val="001000000000" w:firstRow="0" w:lastRow="0" w:firstColumn="1" w:lastColumn="0" w:oddVBand="0" w:evenVBand="0" w:oddHBand="0" w:evenHBand="0" w:firstRowFirstColumn="0" w:firstRowLastColumn="0" w:lastRowFirstColumn="0" w:lastRowLastColumn="0"/>
            <w:tcW w:w="1426" w:type="pct"/>
            <w:shd w:val="clear" w:color="auto" w:fill="F2F2F2" w:themeFill="background1" w:themeFillShade="F2"/>
          </w:tcPr>
          <w:p w:rsidR="00D54C69" w:rsidRPr="00B8772C" w:rsidRDefault="00D54C69" w:rsidP="0088575D">
            <w:pPr>
              <w:pStyle w:val="Tbltxt"/>
              <w:shd w:val="clear" w:color="auto" w:fill="DFE3E5" w:themeFill="background2"/>
              <w:spacing w:line="360" w:lineRule="auto"/>
              <w:jc w:val="both"/>
              <w:rPr>
                <w:rFonts w:asciiTheme="minorHAnsi" w:hAnsiTheme="minorHAnsi" w:cstheme="minorHAnsi"/>
                <w:color w:val="auto"/>
                <w:sz w:val="24"/>
                <w:szCs w:val="24"/>
              </w:rPr>
            </w:pPr>
            <w:r w:rsidRPr="00B8772C">
              <w:rPr>
                <w:rFonts w:asciiTheme="minorHAnsi" w:hAnsiTheme="minorHAnsi" w:cstheme="minorHAnsi"/>
                <w:color w:val="auto"/>
                <w:sz w:val="24"/>
                <w:szCs w:val="24"/>
                <w:lang w:eastAsia="en-US"/>
              </w:rPr>
              <w:t>TDR</w:t>
            </w:r>
          </w:p>
        </w:tc>
        <w:tc>
          <w:tcPr>
            <w:tcW w:w="3574" w:type="pct"/>
            <w:shd w:val="clear" w:color="auto" w:fill="F2F2F2" w:themeFill="background1" w:themeFillShade="F2"/>
          </w:tcPr>
          <w:p w:rsidR="00D54C69" w:rsidRPr="001754BB" w:rsidRDefault="00D54C69" w:rsidP="0088575D">
            <w:pPr>
              <w:pStyle w:val="Tbltxt"/>
              <w:shd w:val="clear" w:color="auto" w:fill="DFE3E5" w:themeFill="background2"/>
              <w:spacing w:line="360" w:lineRule="auto"/>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4"/>
                <w:szCs w:val="24"/>
                <w:lang w:eastAsia="en-US"/>
              </w:rPr>
            </w:pPr>
            <w:r w:rsidRPr="001754BB">
              <w:rPr>
                <w:rFonts w:asciiTheme="minorHAnsi" w:hAnsiTheme="minorHAnsi" w:cstheme="minorHAnsi"/>
                <w:sz w:val="24"/>
                <w:szCs w:val="24"/>
                <w:lang w:eastAsia="en-US"/>
              </w:rPr>
              <w:t>Termes De Référence</w:t>
            </w:r>
          </w:p>
        </w:tc>
      </w:tr>
      <w:tr w:rsidR="00D54C69" w:rsidRPr="007B4568" w:rsidTr="0088575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26" w:type="pct"/>
            <w:shd w:val="clear" w:color="auto" w:fill="F2F2F2" w:themeFill="background1" w:themeFillShade="F2"/>
          </w:tcPr>
          <w:p w:rsidR="00D54C69" w:rsidRPr="00B8772C" w:rsidRDefault="00D54C69" w:rsidP="0088575D">
            <w:pPr>
              <w:pStyle w:val="Tbltxt"/>
              <w:shd w:val="clear" w:color="auto" w:fill="DFE3E5" w:themeFill="background2"/>
              <w:spacing w:line="360" w:lineRule="auto"/>
              <w:jc w:val="both"/>
              <w:rPr>
                <w:rFonts w:asciiTheme="minorHAnsi" w:hAnsiTheme="minorHAnsi" w:cstheme="minorHAnsi"/>
                <w:color w:val="auto"/>
                <w:sz w:val="24"/>
                <w:szCs w:val="24"/>
                <w:lang w:eastAsia="en-US"/>
              </w:rPr>
            </w:pPr>
            <w:r w:rsidRPr="00B8772C">
              <w:rPr>
                <w:rFonts w:asciiTheme="minorHAnsi" w:hAnsiTheme="minorHAnsi" w:cstheme="minorHAnsi"/>
                <w:color w:val="auto"/>
                <w:sz w:val="24"/>
                <w:szCs w:val="24"/>
                <w:lang w:eastAsia="en-US"/>
              </w:rPr>
              <w:t>UNICEF</w:t>
            </w:r>
          </w:p>
        </w:tc>
        <w:tc>
          <w:tcPr>
            <w:tcW w:w="3574" w:type="pct"/>
            <w:shd w:val="clear" w:color="auto" w:fill="F2F2F2" w:themeFill="background1" w:themeFillShade="F2"/>
          </w:tcPr>
          <w:p w:rsidR="00D54C69" w:rsidRPr="001754BB" w:rsidRDefault="00D54C69" w:rsidP="0088575D">
            <w:pPr>
              <w:pStyle w:val="Tbltxt"/>
              <w:shd w:val="clear" w:color="auto" w:fill="DFE3E5" w:themeFill="background2"/>
              <w:spacing w:line="360" w:lineRule="auto"/>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4"/>
                <w:szCs w:val="24"/>
                <w:lang w:val="en-GB" w:eastAsia="en-US"/>
              </w:rPr>
            </w:pPr>
            <w:r w:rsidRPr="001754BB">
              <w:rPr>
                <w:rFonts w:asciiTheme="minorHAnsi" w:hAnsiTheme="minorHAnsi" w:cstheme="minorHAnsi"/>
                <w:sz w:val="24"/>
                <w:szCs w:val="24"/>
                <w:lang w:val="en-GB" w:eastAsia="en-US"/>
              </w:rPr>
              <w:t>United Nations Fund for Children</w:t>
            </w:r>
          </w:p>
        </w:tc>
      </w:tr>
      <w:tr w:rsidR="00D54C69" w:rsidRPr="00A929CE" w:rsidTr="0088575D">
        <w:tc>
          <w:tcPr>
            <w:cnfStyle w:val="001000000000" w:firstRow="0" w:lastRow="0" w:firstColumn="1" w:lastColumn="0" w:oddVBand="0" w:evenVBand="0" w:oddHBand="0" w:evenHBand="0" w:firstRowFirstColumn="0" w:firstRowLastColumn="0" w:lastRowFirstColumn="0" w:lastRowLastColumn="0"/>
            <w:tcW w:w="1426" w:type="pct"/>
            <w:shd w:val="clear" w:color="auto" w:fill="F2F2F2" w:themeFill="background1" w:themeFillShade="F2"/>
          </w:tcPr>
          <w:p w:rsidR="00D54C69" w:rsidRPr="00B8772C" w:rsidRDefault="00D54C69" w:rsidP="0088575D">
            <w:pPr>
              <w:pStyle w:val="Tbltxt"/>
              <w:shd w:val="clear" w:color="auto" w:fill="DFE3E5" w:themeFill="background2"/>
              <w:spacing w:line="360" w:lineRule="auto"/>
              <w:jc w:val="both"/>
              <w:rPr>
                <w:rFonts w:asciiTheme="minorHAnsi" w:hAnsiTheme="minorHAnsi" w:cstheme="minorHAnsi"/>
                <w:color w:val="auto"/>
                <w:sz w:val="24"/>
                <w:szCs w:val="24"/>
              </w:rPr>
            </w:pPr>
            <w:r w:rsidRPr="00B8772C">
              <w:rPr>
                <w:rFonts w:asciiTheme="minorHAnsi" w:hAnsiTheme="minorHAnsi" w:cstheme="minorHAnsi"/>
                <w:color w:val="auto"/>
                <w:sz w:val="24"/>
                <w:szCs w:val="24"/>
              </w:rPr>
              <w:t xml:space="preserve">WAM </w:t>
            </w:r>
          </w:p>
        </w:tc>
        <w:tc>
          <w:tcPr>
            <w:tcW w:w="3574" w:type="pct"/>
            <w:shd w:val="clear" w:color="auto" w:fill="F2F2F2" w:themeFill="background1" w:themeFillShade="F2"/>
          </w:tcPr>
          <w:p w:rsidR="00D54C69" w:rsidRPr="001754BB" w:rsidRDefault="00D54C69" w:rsidP="0088575D">
            <w:pPr>
              <w:pStyle w:val="Tbltxt"/>
              <w:shd w:val="clear" w:color="auto" w:fill="DFE3E5" w:themeFill="background2"/>
              <w:spacing w:line="360" w:lineRule="auto"/>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4"/>
                <w:szCs w:val="24"/>
              </w:rPr>
            </w:pPr>
            <w:r w:rsidRPr="001754BB">
              <w:rPr>
                <w:rFonts w:asciiTheme="minorHAnsi" w:hAnsiTheme="minorHAnsi" w:cstheme="minorHAnsi"/>
                <w:sz w:val="24"/>
                <w:szCs w:val="24"/>
              </w:rPr>
              <w:t>Water Aid Mali</w:t>
            </w:r>
          </w:p>
        </w:tc>
      </w:tr>
      <w:tr w:rsidR="00D54C69" w:rsidRPr="00A929CE" w:rsidTr="0088575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26" w:type="pct"/>
            <w:shd w:val="clear" w:color="auto" w:fill="F2F2F2" w:themeFill="background1" w:themeFillShade="F2"/>
          </w:tcPr>
          <w:p w:rsidR="00D54C69" w:rsidRPr="00B8772C" w:rsidRDefault="00D54C69" w:rsidP="0088575D">
            <w:pPr>
              <w:pStyle w:val="Tbltxt"/>
              <w:shd w:val="clear" w:color="auto" w:fill="DFE3E5" w:themeFill="background2"/>
              <w:spacing w:line="360" w:lineRule="auto"/>
              <w:jc w:val="both"/>
              <w:rPr>
                <w:rFonts w:asciiTheme="minorHAnsi" w:hAnsiTheme="minorHAnsi" w:cstheme="minorHAnsi"/>
                <w:color w:val="auto"/>
                <w:sz w:val="24"/>
                <w:szCs w:val="24"/>
                <w:lang w:eastAsia="en-US"/>
              </w:rPr>
            </w:pPr>
            <w:r w:rsidRPr="00B8772C">
              <w:rPr>
                <w:rFonts w:asciiTheme="minorHAnsi" w:hAnsiTheme="minorHAnsi" w:cstheme="minorHAnsi"/>
                <w:color w:val="auto"/>
                <w:sz w:val="24"/>
                <w:szCs w:val="24"/>
                <w:lang w:eastAsia="en-US"/>
              </w:rPr>
              <w:t>WASH</w:t>
            </w:r>
          </w:p>
        </w:tc>
        <w:tc>
          <w:tcPr>
            <w:tcW w:w="3574" w:type="pct"/>
            <w:shd w:val="clear" w:color="auto" w:fill="F2F2F2" w:themeFill="background1" w:themeFillShade="F2"/>
          </w:tcPr>
          <w:p w:rsidR="00D54C69" w:rsidRPr="001754BB" w:rsidRDefault="00D54C69" w:rsidP="0088575D">
            <w:pPr>
              <w:pStyle w:val="Tbltxt"/>
              <w:shd w:val="clear" w:color="auto" w:fill="DFE3E5" w:themeFill="background2"/>
              <w:spacing w:line="360" w:lineRule="auto"/>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4"/>
                <w:szCs w:val="24"/>
                <w:lang w:eastAsia="en-US"/>
              </w:rPr>
            </w:pPr>
            <w:r w:rsidRPr="001754BB">
              <w:rPr>
                <w:rFonts w:asciiTheme="minorHAnsi" w:hAnsiTheme="minorHAnsi" w:cstheme="minorHAnsi"/>
                <w:sz w:val="24"/>
                <w:szCs w:val="24"/>
                <w:lang w:eastAsia="en-US"/>
              </w:rPr>
              <w:t>Water, Sanitation</w:t>
            </w:r>
            <w:r w:rsidR="00CE2994">
              <w:rPr>
                <w:rFonts w:asciiTheme="minorHAnsi" w:hAnsiTheme="minorHAnsi" w:cstheme="minorHAnsi"/>
                <w:sz w:val="24"/>
                <w:szCs w:val="24"/>
                <w:lang w:eastAsia="en-US"/>
              </w:rPr>
              <w:t xml:space="preserve"> </w:t>
            </w:r>
            <w:r w:rsidRPr="001754BB">
              <w:rPr>
                <w:rFonts w:asciiTheme="minorHAnsi" w:hAnsiTheme="minorHAnsi" w:cstheme="minorHAnsi"/>
                <w:sz w:val="24"/>
                <w:szCs w:val="24"/>
                <w:lang w:eastAsia="en-US"/>
              </w:rPr>
              <w:t>and Hygiene (Eau, Assainissement et Hygiene)</w:t>
            </w:r>
          </w:p>
        </w:tc>
      </w:tr>
    </w:tbl>
    <w:p w:rsidR="00D54C69" w:rsidRPr="00B8772C" w:rsidRDefault="00D54C69" w:rsidP="00D54C69">
      <w:pPr>
        <w:spacing w:line="360" w:lineRule="auto"/>
        <w:jc w:val="both"/>
        <w:rPr>
          <w:rFonts w:asciiTheme="minorHAnsi" w:hAnsiTheme="minorHAnsi"/>
          <w:sz w:val="24"/>
          <w:szCs w:val="24"/>
        </w:rPr>
      </w:pPr>
    </w:p>
    <w:p w:rsidR="00066450" w:rsidRPr="001754BB" w:rsidRDefault="00066450" w:rsidP="001754BB">
      <w:pPr>
        <w:spacing w:line="360" w:lineRule="auto"/>
        <w:jc w:val="both"/>
        <w:rPr>
          <w:rFonts w:asciiTheme="minorHAnsi" w:hAnsiTheme="minorHAnsi"/>
          <w:sz w:val="24"/>
          <w:szCs w:val="24"/>
        </w:rPr>
      </w:pPr>
    </w:p>
    <w:p w:rsidR="00151092" w:rsidRPr="001754BB" w:rsidRDefault="00151092" w:rsidP="001754BB">
      <w:pPr>
        <w:spacing w:line="360" w:lineRule="auto"/>
        <w:jc w:val="both"/>
        <w:rPr>
          <w:rFonts w:asciiTheme="minorHAnsi" w:hAnsiTheme="minorHAnsi" w:cstheme="minorHAnsi"/>
          <w:sz w:val="24"/>
          <w:szCs w:val="24"/>
        </w:rPr>
      </w:pPr>
    </w:p>
    <w:p w:rsidR="00151092" w:rsidRPr="00A929CE" w:rsidRDefault="00151092" w:rsidP="00A929CE">
      <w:pPr>
        <w:pStyle w:val="BodyText"/>
        <w:spacing w:line="360" w:lineRule="auto"/>
        <w:rPr>
          <w:rFonts w:asciiTheme="minorHAnsi" w:hAnsiTheme="minorHAnsi" w:cstheme="minorHAnsi"/>
          <w:sz w:val="24"/>
          <w:szCs w:val="24"/>
        </w:rPr>
        <w:sectPr w:rsidR="00151092" w:rsidRPr="00A929CE" w:rsidSect="0092356C">
          <w:footerReference w:type="default" r:id="rId10"/>
          <w:type w:val="continuous"/>
          <w:pgSz w:w="11906" w:h="16838" w:code="9"/>
          <w:pgMar w:top="1418" w:right="1418" w:bottom="1418" w:left="1418" w:header="709" w:footer="709" w:gutter="0"/>
          <w:cols w:space="708"/>
          <w:titlePg/>
          <w:docGrid w:linePitch="360"/>
        </w:sectPr>
      </w:pPr>
    </w:p>
    <w:p w:rsidR="00647D81" w:rsidRPr="00A929CE" w:rsidRDefault="0075093A" w:rsidP="00A929CE">
      <w:pPr>
        <w:pStyle w:val="Titre1"/>
        <w:spacing w:line="360" w:lineRule="auto"/>
        <w:jc w:val="both"/>
        <w:rPr>
          <w:rFonts w:asciiTheme="minorHAnsi" w:hAnsiTheme="minorHAnsi" w:cstheme="minorHAnsi"/>
          <w:sz w:val="24"/>
          <w:szCs w:val="24"/>
        </w:rPr>
      </w:pPr>
      <w:bookmarkStart w:id="1" w:name="_Toc536448559"/>
      <w:r w:rsidRPr="00A929CE">
        <w:rPr>
          <w:rFonts w:asciiTheme="minorHAnsi" w:hAnsiTheme="minorHAnsi" w:cstheme="minorHAnsi"/>
          <w:sz w:val="24"/>
          <w:szCs w:val="24"/>
        </w:rPr>
        <w:t>RESUME EXECUTIF</w:t>
      </w:r>
      <w:bookmarkEnd w:id="1"/>
    </w:p>
    <w:p w:rsidR="00401831" w:rsidRPr="00A929CE" w:rsidRDefault="00A94C44" w:rsidP="00A929CE">
      <w:pPr>
        <w:pStyle w:val="BodyText"/>
        <w:spacing w:line="360" w:lineRule="auto"/>
        <w:rPr>
          <w:rFonts w:asciiTheme="minorHAnsi" w:hAnsiTheme="minorHAnsi" w:cstheme="minorHAnsi"/>
          <w:sz w:val="24"/>
          <w:szCs w:val="24"/>
        </w:rPr>
      </w:pPr>
      <w:r w:rsidRPr="00A929CE">
        <w:rPr>
          <w:rFonts w:asciiTheme="minorHAnsi" w:hAnsiTheme="minorHAnsi" w:cstheme="minorHAnsi"/>
          <w:sz w:val="24"/>
          <w:szCs w:val="24"/>
        </w:rPr>
        <w:t>L</w:t>
      </w:r>
      <w:r w:rsidR="00401831" w:rsidRPr="00A929CE">
        <w:rPr>
          <w:rFonts w:asciiTheme="minorHAnsi" w:hAnsiTheme="minorHAnsi" w:cstheme="minorHAnsi"/>
          <w:sz w:val="24"/>
          <w:szCs w:val="24"/>
        </w:rPr>
        <w:t>a P</w:t>
      </w:r>
      <w:r w:rsidR="008A3D49" w:rsidRPr="00A929CE">
        <w:rPr>
          <w:rFonts w:asciiTheme="minorHAnsi" w:hAnsiTheme="minorHAnsi" w:cstheme="minorHAnsi"/>
          <w:sz w:val="24"/>
          <w:szCs w:val="24"/>
        </w:rPr>
        <w:t xml:space="preserve">olitique </w:t>
      </w:r>
      <w:r w:rsidR="00401831" w:rsidRPr="00A929CE">
        <w:rPr>
          <w:rFonts w:asciiTheme="minorHAnsi" w:hAnsiTheme="minorHAnsi" w:cstheme="minorHAnsi"/>
          <w:sz w:val="24"/>
          <w:szCs w:val="24"/>
        </w:rPr>
        <w:t>N</w:t>
      </w:r>
      <w:r w:rsidR="008A3D49" w:rsidRPr="00A929CE">
        <w:rPr>
          <w:rFonts w:asciiTheme="minorHAnsi" w:hAnsiTheme="minorHAnsi" w:cstheme="minorHAnsi"/>
          <w:sz w:val="24"/>
          <w:szCs w:val="24"/>
        </w:rPr>
        <w:t>ationale de l’</w:t>
      </w:r>
      <w:r w:rsidR="00401831" w:rsidRPr="00A929CE">
        <w:rPr>
          <w:rFonts w:asciiTheme="minorHAnsi" w:hAnsiTheme="minorHAnsi" w:cstheme="minorHAnsi"/>
          <w:sz w:val="24"/>
          <w:szCs w:val="24"/>
        </w:rPr>
        <w:t>A</w:t>
      </w:r>
      <w:r w:rsidR="008A3D49" w:rsidRPr="00A929CE">
        <w:rPr>
          <w:rFonts w:asciiTheme="minorHAnsi" w:hAnsiTheme="minorHAnsi" w:cstheme="minorHAnsi"/>
          <w:sz w:val="24"/>
          <w:szCs w:val="24"/>
        </w:rPr>
        <w:t>ssainissement (PNA)</w:t>
      </w:r>
      <w:r w:rsidR="00401831" w:rsidRPr="00A929CE">
        <w:rPr>
          <w:rFonts w:asciiTheme="minorHAnsi" w:hAnsiTheme="minorHAnsi" w:cstheme="minorHAnsi"/>
          <w:sz w:val="24"/>
          <w:szCs w:val="24"/>
        </w:rPr>
        <w:t xml:space="preserve"> est le document de référence en matière d’assainissement au Mali. Elle a été adoptée en 2009 et associe cinq stratégies sectorielles que sont : la stratégie de gestion des déchets solides, des déchets liquides, de gestion des eaux pluviales, des déchets spéciaux et enfin de la gestion du transfert de compétences aux collectivités territoriales en la matière. Conçue pour permettre une gestion intégrée des interventions des différents acteurs clés de l’assainissement</w:t>
      </w:r>
      <w:r w:rsidR="00383C79">
        <w:rPr>
          <w:rFonts w:asciiTheme="minorHAnsi" w:hAnsiTheme="minorHAnsi" w:cstheme="minorHAnsi"/>
          <w:sz w:val="24"/>
          <w:szCs w:val="24"/>
        </w:rPr>
        <w:t>,</w:t>
      </w:r>
      <w:r w:rsidR="00401831" w:rsidRPr="00A929CE">
        <w:rPr>
          <w:rFonts w:asciiTheme="minorHAnsi" w:hAnsiTheme="minorHAnsi" w:cstheme="minorHAnsi"/>
          <w:sz w:val="24"/>
          <w:szCs w:val="24"/>
        </w:rPr>
        <w:t xml:space="preserve"> et l’atteinte des OMD et autres objectifs en matière d’assainissement contenus dans d’autres documents cadres du Mali, la PNA se doit d’être relue aux regards des diverses évolutions internationales et nationales </w:t>
      </w:r>
      <w:r w:rsidR="00383C79">
        <w:rPr>
          <w:rFonts w:asciiTheme="minorHAnsi" w:hAnsiTheme="minorHAnsi" w:cstheme="minorHAnsi"/>
          <w:sz w:val="24"/>
          <w:szCs w:val="24"/>
        </w:rPr>
        <w:t xml:space="preserve">intervenues </w:t>
      </w:r>
      <w:r w:rsidR="00401831" w:rsidRPr="00A929CE">
        <w:rPr>
          <w:rFonts w:asciiTheme="minorHAnsi" w:hAnsiTheme="minorHAnsi" w:cstheme="minorHAnsi"/>
          <w:sz w:val="24"/>
          <w:szCs w:val="24"/>
        </w:rPr>
        <w:t>dans l</w:t>
      </w:r>
      <w:r w:rsidRPr="00A929CE">
        <w:rPr>
          <w:rFonts w:asciiTheme="minorHAnsi" w:hAnsiTheme="minorHAnsi" w:cstheme="minorHAnsi"/>
          <w:sz w:val="24"/>
          <w:szCs w:val="24"/>
        </w:rPr>
        <w:t>e</w:t>
      </w:r>
      <w:r w:rsidR="00401831" w:rsidRPr="00A929CE">
        <w:rPr>
          <w:rFonts w:asciiTheme="minorHAnsi" w:hAnsiTheme="minorHAnsi" w:cstheme="minorHAnsi"/>
          <w:sz w:val="24"/>
          <w:szCs w:val="24"/>
        </w:rPr>
        <w:t xml:space="preserve"> sous-secteur. En prélude à cette relecture, il sied de procéder à une appréciation de sa mise en œuvre. </w:t>
      </w:r>
    </w:p>
    <w:p w:rsidR="00A94C44" w:rsidRPr="00A929CE" w:rsidRDefault="00A94C44" w:rsidP="00A929CE">
      <w:pPr>
        <w:pStyle w:val="BodyText"/>
        <w:spacing w:line="360" w:lineRule="auto"/>
        <w:rPr>
          <w:rFonts w:asciiTheme="minorHAnsi" w:hAnsiTheme="minorHAnsi" w:cstheme="minorHAnsi"/>
          <w:sz w:val="24"/>
          <w:szCs w:val="24"/>
        </w:rPr>
      </w:pPr>
      <w:r w:rsidRPr="00A929CE">
        <w:rPr>
          <w:rFonts w:asciiTheme="minorHAnsi" w:hAnsiTheme="minorHAnsi" w:cstheme="minorHAnsi"/>
          <w:sz w:val="24"/>
          <w:szCs w:val="24"/>
        </w:rPr>
        <w:t xml:space="preserve">Le présent rapport résume les résultats </w:t>
      </w:r>
      <w:r w:rsidR="007616B5" w:rsidRPr="00A929CE">
        <w:rPr>
          <w:rFonts w:asciiTheme="minorHAnsi" w:hAnsiTheme="minorHAnsi" w:cstheme="minorHAnsi"/>
          <w:sz w:val="24"/>
          <w:szCs w:val="24"/>
        </w:rPr>
        <w:t xml:space="preserve">de l’évaluation de la mise en œuvre de la PNA et celui du diagnostic du sous-secteur assainissement, </w:t>
      </w:r>
      <w:r w:rsidR="00383C79">
        <w:rPr>
          <w:rFonts w:asciiTheme="minorHAnsi" w:hAnsiTheme="minorHAnsi" w:cstheme="minorHAnsi"/>
          <w:sz w:val="24"/>
          <w:szCs w:val="24"/>
        </w:rPr>
        <w:t xml:space="preserve">en s’appuyant </w:t>
      </w:r>
      <w:r w:rsidR="00472554" w:rsidRPr="00A929CE">
        <w:rPr>
          <w:rFonts w:asciiTheme="minorHAnsi" w:hAnsiTheme="minorHAnsi" w:cstheme="minorHAnsi"/>
          <w:sz w:val="24"/>
          <w:szCs w:val="24"/>
        </w:rPr>
        <w:t xml:space="preserve">sur </w:t>
      </w:r>
      <w:r w:rsidRPr="00A929CE">
        <w:rPr>
          <w:rFonts w:asciiTheme="minorHAnsi" w:hAnsiTheme="minorHAnsi" w:cstheme="minorHAnsi"/>
          <w:sz w:val="24"/>
          <w:szCs w:val="24"/>
        </w:rPr>
        <w:t>une analyse documentaire approfondie et des entretiens avec les acteurs clés du s</w:t>
      </w:r>
      <w:r w:rsidR="00472554" w:rsidRPr="00A929CE">
        <w:rPr>
          <w:rFonts w:asciiTheme="minorHAnsi" w:hAnsiTheme="minorHAnsi" w:cstheme="minorHAnsi"/>
          <w:sz w:val="24"/>
          <w:szCs w:val="24"/>
        </w:rPr>
        <w:t xml:space="preserve">ous-secteur, voire, du secteur Eau et Assainissement. </w:t>
      </w:r>
      <w:r w:rsidRPr="00A929CE">
        <w:rPr>
          <w:rFonts w:asciiTheme="minorHAnsi" w:hAnsiTheme="minorHAnsi" w:cstheme="minorHAnsi"/>
          <w:sz w:val="24"/>
          <w:szCs w:val="24"/>
        </w:rPr>
        <w:t>Les diverses informations recueillies</w:t>
      </w:r>
      <w:r w:rsidR="00383C79">
        <w:rPr>
          <w:rFonts w:asciiTheme="minorHAnsi" w:hAnsiTheme="minorHAnsi" w:cstheme="minorHAnsi"/>
          <w:sz w:val="24"/>
          <w:szCs w:val="24"/>
        </w:rPr>
        <w:t xml:space="preserve"> et analysées</w:t>
      </w:r>
      <w:r w:rsidR="0088575D">
        <w:rPr>
          <w:rFonts w:asciiTheme="minorHAnsi" w:hAnsiTheme="minorHAnsi" w:cstheme="minorHAnsi"/>
          <w:sz w:val="24"/>
          <w:szCs w:val="24"/>
        </w:rPr>
        <w:t xml:space="preserve"> </w:t>
      </w:r>
      <w:r w:rsidRPr="00A929CE">
        <w:rPr>
          <w:rFonts w:asciiTheme="minorHAnsi" w:hAnsiTheme="minorHAnsi" w:cstheme="minorHAnsi"/>
          <w:sz w:val="24"/>
          <w:szCs w:val="24"/>
        </w:rPr>
        <w:t xml:space="preserve">ont permis de tirer les conclusions </w:t>
      </w:r>
      <w:r w:rsidR="000F19CE" w:rsidRPr="00A929CE">
        <w:rPr>
          <w:rFonts w:asciiTheme="minorHAnsi" w:hAnsiTheme="minorHAnsi" w:cstheme="minorHAnsi"/>
          <w:sz w:val="24"/>
          <w:szCs w:val="24"/>
        </w:rPr>
        <w:t>ci-après</w:t>
      </w:r>
      <w:r w:rsidR="00383C79">
        <w:rPr>
          <w:rFonts w:asciiTheme="minorHAnsi" w:hAnsiTheme="minorHAnsi" w:cstheme="minorHAnsi"/>
          <w:sz w:val="24"/>
          <w:szCs w:val="24"/>
        </w:rPr>
        <w:t> :</w:t>
      </w:r>
    </w:p>
    <w:p w:rsidR="00BA0AF1" w:rsidRPr="00A929CE" w:rsidRDefault="00BA0AF1" w:rsidP="00A929CE">
      <w:pPr>
        <w:pStyle w:val="Titre2"/>
        <w:spacing w:line="360" w:lineRule="auto"/>
        <w:rPr>
          <w:rFonts w:asciiTheme="minorHAnsi" w:hAnsiTheme="minorHAnsi"/>
          <w:szCs w:val="24"/>
        </w:rPr>
      </w:pPr>
      <w:bookmarkStart w:id="2" w:name="_Toc536448560"/>
      <w:r w:rsidRPr="00A929CE">
        <w:rPr>
          <w:rFonts w:asciiTheme="minorHAnsi" w:hAnsiTheme="minorHAnsi"/>
          <w:szCs w:val="24"/>
        </w:rPr>
        <w:t>Evaluation de la mise en œuvre de la PNA</w:t>
      </w:r>
      <w:bookmarkEnd w:id="2"/>
    </w:p>
    <w:p w:rsidR="004E497D" w:rsidRPr="00A929CE" w:rsidRDefault="004E497D" w:rsidP="00A929CE">
      <w:pPr>
        <w:pStyle w:val="Titre3"/>
        <w:spacing w:line="360" w:lineRule="auto"/>
        <w:rPr>
          <w:rFonts w:asciiTheme="minorHAnsi" w:hAnsiTheme="minorHAnsi"/>
          <w:sz w:val="24"/>
          <w:szCs w:val="24"/>
        </w:rPr>
      </w:pPr>
      <w:bookmarkStart w:id="3" w:name="_Toc536448561"/>
      <w:r w:rsidRPr="00A929CE">
        <w:rPr>
          <w:rFonts w:asciiTheme="minorHAnsi" w:hAnsiTheme="minorHAnsi"/>
          <w:sz w:val="24"/>
          <w:szCs w:val="24"/>
        </w:rPr>
        <w:t>Atteinte des résultats attendus de la mise en œuvre de la PNA</w:t>
      </w:r>
      <w:bookmarkEnd w:id="3"/>
    </w:p>
    <w:p w:rsidR="004E497D" w:rsidRPr="00A929CE" w:rsidRDefault="00B8772C" w:rsidP="00B8772C">
      <w:pPr>
        <w:pStyle w:val="Corpsdetexte"/>
        <w:spacing w:line="360" w:lineRule="auto"/>
        <w:rPr>
          <w:rFonts w:asciiTheme="minorHAnsi" w:hAnsiTheme="minorHAnsi"/>
          <w:szCs w:val="24"/>
          <w:lang w:eastAsia="de-DE"/>
        </w:rPr>
      </w:pPr>
      <w:r w:rsidRPr="00B8772C">
        <w:rPr>
          <w:rFonts w:asciiTheme="minorHAnsi" w:hAnsiTheme="minorHAnsi"/>
          <w:szCs w:val="24"/>
          <w:lang w:eastAsia="de-DE"/>
        </w:rPr>
        <w:t>Les ambitieux résultats assignés à la PNA, n</w:t>
      </w:r>
      <w:r w:rsidRPr="001754BB">
        <w:rPr>
          <w:rFonts w:asciiTheme="minorHAnsi" w:hAnsiTheme="minorHAnsi"/>
          <w:szCs w:val="24"/>
          <w:lang w:eastAsia="de-DE"/>
        </w:rPr>
        <w:t>’ont pas été atteints dans leur globalité. Cela s’explique par un pilotage n’ayant pas bénéficié de tous les outils en la ma</w:t>
      </w:r>
      <w:r w:rsidRPr="00BC7FF5">
        <w:rPr>
          <w:rFonts w:asciiTheme="minorHAnsi" w:hAnsiTheme="minorHAnsi"/>
          <w:szCs w:val="24"/>
          <w:lang w:eastAsia="de-DE"/>
        </w:rPr>
        <w:t>tière. La non mise en place des organes et outils pour la mise en œuvre</w:t>
      </w:r>
      <w:r w:rsidRPr="00112EE9">
        <w:rPr>
          <w:rFonts w:asciiTheme="minorHAnsi" w:hAnsiTheme="minorHAnsi"/>
          <w:szCs w:val="24"/>
          <w:lang w:eastAsia="de-DE"/>
        </w:rPr>
        <w:t xml:space="preserve"> de la PNA a constitué un lourd handicap. Une navigation à vue et à la carte s’est installée dans la conduite des actions. Les différents acteurs n’ont pas assis </w:t>
      </w:r>
      <w:r w:rsidR="0088575D">
        <w:rPr>
          <w:rFonts w:asciiTheme="minorHAnsi" w:hAnsiTheme="minorHAnsi"/>
          <w:color w:val="FF0000"/>
          <w:szCs w:val="24"/>
          <w:lang w:eastAsia="de-DE"/>
        </w:rPr>
        <w:t xml:space="preserve">entre eux </w:t>
      </w:r>
      <w:r w:rsidR="0088575D" w:rsidRPr="0088575D">
        <w:rPr>
          <w:rFonts w:asciiTheme="minorHAnsi" w:hAnsiTheme="minorHAnsi"/>
          <w:color w:val="FF0000"/>
          <w:szCs w:val="24"/>
          <w:lang w:eastAsia="de-DE"/>
        </w:rPr>
        <w:t>une concertation permanente au-delà des revues annuelles</w:t>
      </w:r>
      <w:r w:rsidRPr="00D863B8">
        <w:rPr>
          <w:rFonts w:asciiTheme="minorHAnsi" w:hAnsiTheme="minorHAnsi"/>
          <w:szCs w:val="24"/>
          <w:lang w:eastAsia="de-DE"/>
        </w:rPr>
        <w:t xml:space="preserve">, toute chose qui devait permettre une synergie dans les actions, et partant, la possible atteinte des résultats. </w:t>
      </w:r>
    </w:p>
    <w:p w:rsidR="00EC66DA" w:rsidRPr="00A929CE" w:rsidRDefault="00EC66DA" w:rsidP="00A929CE">
      <w:pPr>
        <w:pStyle w:val="Titre3"/>
        <w:spacing w:line="360" w:lineRule="auto"/>
        <w:rPr>
          <w:rFonts w:asciiTheme="minorHAnsi" w:hAnsiTheme="minorHAnsi"/>
          <w:sz w:val="24"/>
          <w:szCs w:val="24"/>
        </w:rPr>
      </w:pPr>
      <w:bookmarkStart w:id="4" w:name="_Toc536448562"/>
      <w:r w:rsidRPr="00A929CE">
        <w:rPr>
          <w:rFonts w:asciiTheme="minorHAnsi" w:hAnsiTheme="minorHAnsi"/>
          <w:sz w:val="24"/>
          <w:szCs w:val="24"/>
        </w:rPr>
        <w:t>Du pilotage de la PNA</w:t>
      </w:r>
      <w:bookmarkEnd w:id="4"/>
    </w:p>
    <w:p w:rsidR="00EC66DA" w:rsidRPr="001754BB" w:rsidRDefault="00EC66DA" w:rsidP="00B8772C">
      <w:pPr>
        <w:spacing w:line="360" w:lineRule="auto"/>
        <w:jc w:val="both"/>
        <w:rPr>
          <w:rFonts w:asciiTheme="minorHAnsi" w:hAnsiTheme="minorHAnsi" w:cstheme="minorHAnsi"/>
          <w:color w:val="000000" w:themeColor="text1"/>
          <w:sz w:val="24"/>
          <w:szCs w:val="24"/>
        </w:rPr>
      </w:pPr>
      <w:r w:rsidRPr="00B8772C">
        <w:rPr>
          <w:rFonts w:asciiTheme="minorHAnsi" w:hAnsiTheme="minorHAnsi" w:cstheme="minorHAnsi"/>
          <w:bCs/>
          <w:sz w:val="24"/>
          <w:szCs w:val="24"/>
          <w:lang w:eastAsia="en-GB"/>
        </w:rPr>
        <w:t>Le déficit de pilotage</w:t>
      </w:r>
      <w:r w:rsidRPr="00B8772C">
        <w:rPr>
          <w:rFonts w:asciiTheme="minorHAnsi" w:hAnsiTheme="minorHAnsi" w:cstheme="minorHAnsi"/>
          <w:color w:val="000000" w:themeColor="text1"/>
          <w:sz w:val="24"/>
          <w:szCs w:val="24"/>
        </w:rPr>
        <w:t xml:space="preserve"> dans la mise en œuvre de la PNA et de ses stratégies associées a été aggravé par la faiblesse qualitative et quantitative des ressources humaines de la DNACPN e</w:t>
      </w:r>
      <w:r w:rsidRPr="001754BB">
        <w:rPr>
          <w:rFonts w:asciiTheme="minorHAnsi" w:hAnsiTheme="minorHAnsi" w:cstheme="minorHAnsi"/>
          <w:color w:val="000000" w:themeColor="text1"/>
          <w:sz w:val="24"/>
          <w:szCs w:val="24"/>
        </w:rPr>
        <w:t xml:space="preserve">n termes de pilotage et de suivi-évaluation d’une politique sectorielle ou encore de maîtrise des questions relatives à l’assainissement.  </w:t>
      </w:r>
    </w:p>
    <w:p w:rsidR="00EC66DA" w:rsidRPr="00BC7FF5" w:rsidRDefault="00EC66DA" w:rsidP="00B8772C">
      <w:pPr>
        <w:spacing w:line="360" w:lineRule="auto"/>
        <w:jc w:val="both"/>
        <w:rPr>
          <w:rFonts w:asciiTheme="minorHAnsi" w:hAnsiTheme="minorHAnsi" w:cstheme="minorHAnsi"/>
          <w:color w:val="231F20"/>
          <w:sz w:val="24"/>
          <w:szCs w:val="24"/>
        </w:rPr>
      </w:pPr>
      <w:r w:rsidRPr="001754BB">
        <w:rPr>
          <w:rFonts w:asciiTheme="minorHAnsi" w:hAnsiTheme="minorHAnsi" w:cstheme="minorHAnsi"/>
          <w:sz w:val="24"/>
          <w:szCs w:val="24"/>
        </w:rPr>
        <w:t>L’absence d’un dispositif approprié de pilotage a été d’autant plus ressentie que la PNA a été déclinée en cinq (05) stratégies sous sectorielles</w:t>
      </w:r>
      <w:r w:rsidR="00383C79">
        <w:rPr>
          <w:rFonts w:asciiTheme="minorHAnsi" w:hAnsiTheme="minorHAnsi" w:cstheme="minorHAnsi"/>
          <w:sz w:val="24"/>
          <w:szCs w:val="24"/>
        </w:rPr>
        <w:t xml:space="preserve"> qui sont restées cloisonnées, et franchisées par rapport à la politique nationale</w:t>
      </w:r>
      <w:r w:rsidR="00584494">
        <w:rPr>
          <w:rFonts w:asciiTheme="minorHAnsi" w:hAnsiTheme="minorHAnsi" w:cstheme="minorHAnsi"/>
          <w:sz w:val="24"/>
          <w:szCs w:val="24"/>
        </w:rPr>
        <w:t>.  Sur ce point, i</w:t>
      </w:r>
      <w:r w:rsidRPr="001754BB">
        <w:rPr>
          <w:rFonts w:asciiTheme="minorHAnsi" w:hAnsiTheme="minorHAnsi" w:cstheme="minorHAnsi"/>
          <w:sz w:val="24"/>
          <w:szCs w:val="24"/>
        </w:rPr>
        <w:t>l faut remarquer que la création de l’Agence Nationale de Gestion des</w:t>
      </w:r>
      <w:r w:rsidRPr="001754BB">
        <w:rPr>
          <w:rFonts w:asciiTheme="minorHAnsi" w:hAnsiTheme="minorHAnsi" w:cstheme="minorHAnsi"/>
          <w:color w:val="231F20"/>
          <w:sz w:val="24"/>
          <w:szCs w:val="24"/>
        </w:rPr>
        <w:t xml:space="preserve"> Stations d’Epuration du Mali (ANGESEM) peut certes être interprétée comme p</w:t>
      </w:r>
      <w:r w:rsidRPr="00BC7FF5">
        <w:rPr>
          <w:rFonts w:asciiTheme="minorHAnsi" w:hAnsiTheme="minorHAnsi" w:cstheme="minorHAnsi"/>
          <w:color w:val="231F20"/>
          <w:sz w:val="24"/>
          <w:szCs w:val="24"/>
        </w:rPr>
        <w:t xml:space="preserve">articipant de la volonté de mieux prendre en charge la problématique des déchets liquides. </w:t>
      </w:r>
    </w:p>
    <w:p w:rsidR="00EC66DA" w:rsidRPr="00A929CE" w:rsidRDefault="00EC66DA" w:rsidP="00B8772C">
      <w:pPr>
        <w:spacing w:line="360" w:lineRule="auto"/>
        <w:jc w:val="both"/>
        <w:rPr>
          <w:rFonts w:asciiTheme="minorHAnsi" w:hAnsiTheme="minorHAnsi" w:cstheme="minorHAnsi"/>
          <w:sz w:val="24"/>
          <w:szCs w:val="24"/>
        </w:rPr>
      </w:pPr>
      <w:r w:rsidRPr="00112EE9">
        <w:rPr>
          <w:rFonts w:asciiTheme="minorHAnsi" w:hAnsiTheme="minorHAnsi" w:cstheme="minorHAnsi"/>
          <w:color w:val="231F20"/>
          <w:sz w:val="24"/>
          <w:szCs w:val="24"/>
        </w:rPr>
        <w:t xml:space="preserve">Toutefois, le lien des interventions de cette Agence avec la stratégie dont elle est censée assurer le leadership, manque de visibilité tout comme son interaction avec la DNACPN. </w:t>
      </w:r>
      <w:r w:rsidRPr="00112EE9">
        <w:rPr>
          <w:rFonts w:asciiTheme="minorHAnsi" w:hAnsiTheme="minorHAnsi" w:cstheme="minorHAnsi"/>
          <w:sz w:val="24"/>
          <w:szCs w:val="24"/>
        </w:rPr>
        <w:t xml:space="preserve">En définitive, l’absence d’un </w:t>
      </w:r>
      <w:r w:rsidRPr="00112EE9">
        <w:rPr>
          <w:rFonts w:asciiTheme="minorHAnsi" w:hAnsiTheme="minorHAnsi" w:cstheme="minorHAnsi"/>
          <w:b/>
          <w:i/>
          <w:sz w:val="24"/>
          <w:szCs w:val="24"/>
          <w:u w:val="single"/>
        </w:rPr>
        <w:t>véritable dispositif de mise en œuvre de la PNA</w:t>
      </w:r>
      <w:r w:rsidRPr="00D863B8">
        <w:rPr>
          <w:rFonts w:asciiTheme="minorHAnsi" w:hAnsiTheme="minorHAnsi" w:cstheme="minorHAnsi"/>
          <w:sz w:val="24"/>
          <w:szCs w:val="24"/>
        </w:rPr>
        <w:t xml:space="preserve"> a influé négativement sur le pilotage de ce cadre stratégique. Ce faisant, la DNACPN et les autres acteurs clés du sous-secteur ont continué à d</w:t>
      </w:r>
      <w:r w:rsidRPr="00A929CE">
        <w:rPr>
          <w:rFonts w:asciiTheme="minorHAnsi" w:eastAsia="Calibri" w:hAnsiTheme="minorHAnsi" w:cstheme="minorHAnsi"/>
          <w:sz w:val="24"/>
          <w:szCs w:val="24"/>
        </w:rPr>
        <w:t>évelopp</w:t>
      </w:r>
      <w:r w:rsidRPr="00A929CE">
        <w:rPr>
          <w:rFonts w:asciiTheme="minorHAnsi" w:hAnsiTheme="minorHAnsi" w:cstheme="minorHAnsi"/>
          <w:sz w:val="24"/>
          <w:szCs w:val="24"/>
        </w:rPr>
        <w:t>er des actions disparates dont l</w:t>
      </w:r>
      <w:r w:rsidRPr="00A929CE">
        <w:rPr>
          <w:rFonts w:asciiTheme="minorHAnsi" w:eastAsia="Calibri" w:hAnsiTheme="minorHAnsi" w:cstheme="minorHAnsi"/>
          <w:sz w:val="24"/>
          <w:szCs w:val="24"/>
        </w:rPr>
        <w:t xml:space="preserve">’impact limité </w:t>
      </w:r>
      <w:r w:rsidRPr="00A929CE">
        <w:rPr>
          <w:rFonts w:asciiTheme="minorHAnsi" w:hAnsiTheme="minorHAnsi" w:cstheme="minorHAnsi"/>
          <w:sz w:val="24"/>
          <w:szCs w:val="24"/>
        </w:rPr>
        <w:t>a donné un effet de grossissement au déficit d’opérationnalisation de la vision commune incarnée par la PNA.</w:t>
      </w:r>
    </w:p>
    <w:p w:rsidR="004E497D" w:rsidRPr="001754BB" w:rsidRDefault="002845C8" w:rsidP="00B8772C">
      <w:pPr>
        <w:pStyle w:val="Titre3"/>
        <w:spacing w:line="360" w:lineRule="auto"/>
        <w:rPr>
          <w:rFonts w:asciiTheme="minorHAnsi" w:hAnsiTheme="minorHAnsi"/>
          <w:sz w:val="24"/>
          <w:szCs w:val="24"/>
        </w:rPr>
      </w:pPr>
      <w:bookmarkStart w:id="5" w:name="_Toc536448563"/>
      <w:r w:rsidRPr="00B8772C">
        <w:rPr>
          <w:rFonts w:asciiTheme="minorHAnsi" w:hAnsiTheme="minorHAnsi" w:cstheme="minorHAnsi"/>
          <w:sz w:val="24"/>
          <w:szCs w:val="24"/>
        </w:rPr>
        <w:t>Appréciation du</w:t>
      </w:r>
      <w:r w:rsidR="0088575D">
        <w:rPr>
          <w:rFonts w:asciiTheme="minorHAnsi" w:hAnsiTheme="minorHAnsi" w:cstheme="minorHAnsi"/>
          <w:sz w:val="24"/>
          <w:szCs w:val="24"/>
        </w:rPr>
        <w:t xml:space="preserve"> </w:t>
      </w:r>
      <w:r w:rsidRPr="00B8772C">
        <w:rPr>
          <w:rFonts w:asciiTheme="minorHAnsi" w:hAnsiTheme="minorHAnsi"/>
          <w:sz w:val="24"/>
          <w:szCs w:val="24"/>
        </w:rPr>
        <w:t>Suivi</w:t>
      </w:r>
      <w:r w:rsidR="004E497D" w:rsidRPr="001754BB">
        <w:rPr>
          <w:rFonts w:asciiTheme="minorHAnsi" w:hAnsiTheme="minorHAnsi"/>
          <w:sz w:val="24"/>
          <w:szCs w:val="24"/>
        </w:rPr>
        <w:t>-évaluation de la PNA et des 5 stratégies sous-sectorielles</w:t>
      </w:r>
      <w:bookmarkEnd w:id="5"/>
    </w:p>
    <w:p w:rsidR="00EC66DA" w:rsidRPr="00A929CE" w:rsidRDefault="00EC66DA" w:rsidP="00A929CE">
      <w:pPr>
        <w:pStyle w:val="BodyText"/>
        <w:spacing w:line="360" w:lineRule="auto"/>
        <w:rPr>
          <w:rFonts w:asciiTheme="minorHAnsi" w:hAnsiTheme="minorHAnsi"/>
          <w:sz w:val="24"/>
          <w:szCs w:val="24"/>
        </w:rPr>
      </w:pPr>
      <w:r w:rsidRPr="00A929CE">
        <w:rPr>
          <w:rFonts w:asciiTheme="minorHAnsi" w:hAnsiTheme="minorHAnsi"/>
          <w:sz w:val="24"/>
          <w:szCs w:val="24"/>
        </w:rPr>
        <w:t xml:space="preserve">Dans la Politique Nationale d’Assainissement (PNA), il n’existe pas un montage institutionnel </w:t>
      </w:r>
      <w:r w:rsidR="00584494">
        <w:rPr>
          <w:rFonts w:asciiTheme="minorHAnsi" w:hAnsiTheme="minorHAnsi"/>
          <w:sz w:val="24"/>
          <w:szCs w:val="24"/>
        </w:rPr>
        <w:t xml:space="preserve">se rapportant au système de </w:t>
      </w:r>
      <w:r w:rsidR="0088575D">
        <w:rPr>
          <w:rFonts w:asciiTheme="minorHAnsi" w:hAnsiTheme="minorHAnsi"/>
          <w:sz w:val="24"/>
          <w:szCs w:val="24"/>
        </w:rPr>
        <w:t>suivi-évaluation</w:t>
      </w:r>
      <w:r w:rsidRPr="00A929CE">
        <w:rPr>
          <w:rFonts w:asciiTheme="minorHAnsi" w:hAnsiTheme="minorHAnsi"/>
          <w:sz w:val="24"/>
          <w:szCs w:val="24"/>
        </w:rPr>
        <w:t>. Il en résulte que les liens opérationnels entre agents ou structures ne sont pas décrits</w:t>
      </w:r>
      <w:r w:rsidR="00584494">
        <w:rPr>
          <w:rFonts w:asciiTheme="minorHAnsi" w:hAnsiTheme="minorHAnsi"/>
          <w:sz w:val="24"/>
          <w:szCs w:val="24"/>
        </w:rPr>
        <w:t xml:space="preserve"> et mis en interaction.</w:t>
      </w:r>
      <w:r w:rsidRPr="00A929CE">
        <w:rPr>
          <w:rFonts w:asciiTheme="minorHAnsi" w:hAnsiTheme="minorHAnsi"/>
          <w:sz w:val="24"/>
          <w:szCs w:val="24"/>
        </w:rPr>
        <w:t xml:space="preserve"> Mais, il est envisagé que « La CPS du ministère en charge de l’assainissement coordonne les ENAP, en lien avec la DNSI et les CPS des ministères en charge de l’hydraulique, de la santé, de l’administration territoriale, des industries, de l’artisanat, du commerce, des finances et de l’éducation. »</w:t>
      </w:r>
      <w:r w:rsidRPr="00A929CE">
        <w:rPr>
          <w:rStyle w:val="Appelnotedebasdep"/>
          <w:rFonts w:asciiTheme="minorHAnsi" w:hAnsiTheme="minorHAnsi"/>
          <w:sz w:val="24"/>
          <w:szCs w:val="24"/>
        </w:rPr>
        <w:footnoteReference w:id="2"/>
      </w:r>
    </w:p>
    <w:p w:rsidR="00EC66DA" w:rsidRPr="00A929CE" w:rsidRDefault="00EC66DA" w:rsidP="00A929CE">
      <w:pPr>
        <w:pStyle w:val="BodyText"/>
        <w:spacing w:line="360" w:lineRule="auto"/>
        <w:rPr>
          <w:rFonts w:asciiTheme="minorHAnsi" w:hAnsiTheme="minorHAnsi"/>
          <w:sz w:val="24"/>
          <w:szCs w:val="24"/>
        </w:rPr>
      </w:pPr>
      <w:r w:rsidRPr="00A929CE">
        <w:rPr>
          <w:rFonts w:asciiTheme="minorHAnsi" w:hAnsiTheme="minorHAnsi"/>
          <w:sz w:val="24"/>
          <w:szCs w:val="24"/>
        </w:rPr>
        <w:t>Le document annonce l’élaboration d’un plan d’action global qui sera suivi par des comités au niveau national, régional, communal et au niveau des cercles</w:t>
      </w:r>
      <w:r w:rsidRPr="00A929CE">
        <w:rPr>
          <w:rStyle w:val="Appelnotedebasdep"/>
          <w:rFonts w:asciiTheme="minorHAnsi" w:hAnsiTheme="minorHAnsi"/>
          <w:sz w:val="24"/>
          <w:szCs w:val="24"/>
        </w:rPr>
        <w:footnoteReference w:id="3"/>
      </w:r>
      <w:r w:rsidRPr="00A929CE">
        <w:rPr>
          <w:rFonts w:asciiTheme="minorHAnsi" w:hAnsiTheme="minorHAnsi"/>
          <w:sz w:val="24"/>
          <w:szCs w:val="24"/>
        </w:rPr>
        <w:t>.Cependant, le principal responsable du suivi évaluation n’est pas clairement désigné. Le document prévoit que le :</w:t>
      </w:r>
      <w:r w:rsidRPr="00A929CE">
        <w:rPr>
          <w:rFonts w:asciiTheme="minorHAnsi" w:hAnsiTheme="minorHAnsi"/>
          <w:i/>
          <w:sz w:val="24"/>
          <w:szCs w:val="24"/>
        </w:rPr>
        <w:t> «</w:t>
      </w:r>
      <w:r w:rsidRPr="00A929CE">
        <w:rPr>
          <w:rFonts w:asciiTheme="minorHAnsi" w:hAnsiTheme="minorHAnsi"/>
          <w:sz w:val="24"/>
          <w:szCs w:val="24"/>
        </w:rPr>
        <w:t xml:space="preserve"> dispositif de suivi-évaluation adoptera une approche participative impliquant tous les acteurs clefs, notamment les collectivités territoriales, la DNACPN, la DNH, la DNS, la DNCT, les partenaires techniques et financiers, le secteur privé et la société civile. »</w:t>
      </w:r>
      <w:r w:rsidRPr="00A929CE">
        <w:rPr>
          <w:rStyle w:val="Appelnotedebasdep"/>
          <w:rFonts w:asciiTheme="minorHAnsi" w:hAnsiTheme="minorHAnsi"/>
          <w:sz w:val="24"/>
          <w:szCs w:val="24"/>
        </w:rPr>
        <w:footnoteReference w:id="4"/>
      </w:r>
    </w:p>
    <w:p w:rsidR="00EC66DA" w:rsidRPr="00A929CE" w:rsidRDefault="00EC66DA" w:rsidP="00A929CE">
      <w:pPr>
        <w:pStyle w:val="BodyText"/>
        <w:spacing w:line="360" w:lineRule="auto"/>
        <w:rPr>
          <w:rFonts w:asciiTheme="minorHAnsi" w:hAnsiTheme="minorHAnsi"/>
          <w:sz w:val="24"/>
          <w:szCs w:val="24"/>
        </w:rPr>
      </w:pPr>
      <w:r w:rsidRPr="00A929CE">
        <w:rPr>
          <w:rFonts w:asciiTheme="minorHAnsi" w:hAnsiTheme="minorHAnsi"/>
          <w:sz w:val="24"/>
          <w:szCs w:val="24"/>
        </w:rPr>
        <w:t>Il est prévu des comités de suivi, mais il n’existe aucune indication dans le document sur la mise en place d’un comité de pilotage.</w:t>
      </w:r>
    </w:p>
    <w:p w:rsidR="00EC66DA" w:rsidRPr="00A929CE" w:rsidRDefault="00EC66DA" w:rsidP="00A929CE">
      <w:pPr>
        <w:pStyle w:val="BodyText"/>
        <w:spacing w:line="360" w:lineRule="auto"/>
        <w:rPr>
          <w:rFonts w:asciiTheme="minorHAnsi" w:hAnsiTheme="minorHAnsi"/>
          <w:sz w:val="24"/>
          <w:szCs w:val="24"/>
        </w:rPr>
      </w:pPr>
      <w:r w:rsidRPr="00A929CE">
        <w:rPr>
          <w:rFonts w:asciiTheme="minorHAnsi" w:hAnsiTheme="minorHAnsi"/>
          <w:sz w:val="24"/>
          <w:szCs w:val="24"/>
        </w:rPr>
        <w:t>Il n’y a pas dans la Politique, une description du fonctionnement du système de collecte, de contrôle et d’analyse des données.</w:t>
      </w:r>
    </w:p>
    <w:p w:rsidR="00EC66DA" w:rsidRPr="00A929CE" w:rsidRDefault="00EC66DA" w:rsidP="00A929CE">
      <w:pPr>
        <w:pStyle w:val="BodyText"/>
        <w:spacing w:line="360" w:lineRule="auto"/>
        <w:rPr>
          <w:rFonts w:asciiTheme="minorHAnsi" w:hAnsiTheme="minorHAnsi"/>
          <w:sz w:val="24"/>
          <w:szCs w:val="24"/>
        </w:rPr>
      </w:pPr>
      <w:r w:rsidRPr="00A929CE">
        <w:rPr>
          <w:rFonts w:asciiTheme="minorHAnsi" w:hAnsiTheme="minorHAnsi"/>
          <w:sz w:val="24"/>
          <w:szCs w:val="24"/>
        </w:rPr>
        <w:t>Il convient cependant de signaler qu’à la page sus citée, il est prévu que : « Les principaux acteurs concernés par l’assainissement se coordonnent au travers du ministère en charge de l’assainissement ». En plus du suivi de la mise en œuvre de la PNA et du suivi du secteur assainissement, ce dernier assurera :</w:t>
      </w:r>
    </w:p>
    <w:p w:rsidR="00EC66DA" w:rsidRPr="00A929CE" w:rsidRDefault="00EC66DA" w:rsidP="00A929CE">
      <w:pPr>
        <w:pStyle w:val="BodyTextind1"/>
        <w:spacing w:line="360" w:lineRule="auto"/>
        <w:rPr>
          <w:rFonts w:asciiTheme="minorHAnsi" w:hAnsiTheme="minorHAnsi"/>
          <w:sz w:val="24"/>
          <w:szCs w:val="24"/>
        </w:rPr>
      </w:pPr>
      <w:r w:rsidRPr="00A929CE">
        <w:rPr>
          <w:rFonts w:asciiTheme="minorHAnsi" w:hAnsiTheme="minorHAnsi"/>
          <w:sz w:val="24"/>
          <w:szCs w:val="24"/>
        </w:rPr>
        <w:t>L’échange des informations ;</w:t>
      </w:r>
    </w:p>
    <w:p w:rsidR="00EC66DA" w:rsidRPr="00A929CE" w:rsidRDefault="00EC66DA" w:rsidP="00A929CE">
      <w:pPr>
        <w:pStyle w:val="BodyTextind1"/>
        <w:spacing w:line="360" w:lineRule="auto"/>
        <w:rPr>
          <w:rFonts w:asciiTheme="minorHAnsi" w:hAnsiTheme="minorHAnsi"/>
          <w:sz w:val="24"/>
          <w:szCs w:val="24"/>
        </w:rPr>
      </w:pPr>
      <w:r w:rsidRPr="00A929CE">
        <w:rPr>
          <w:rFonts w:asciiTheme="minorHAnsi" w:hAnsiTheme="minorHAnsi"/>
          <w:sz w:val="24"/>
          <w:szCs w:val="24"/>
        </w:rPr>
        <w:t>La diffusion des textes et politiques liés à l’assainissement en général et à la PNA en particulier ;</w:t>
      </w:r>
    </w:p>
    <w:p w:rsidR="00EC66DA" w:rsidRPr="00A929CE" w:rsidRDefault="00EC66DA" w:rsidP="00A929CE">
      <w:pPr>
        <w:pStyle w:val="BodyTextind1"/>
        <w:spacing w:line="360" w:lineRule="auto"/>
        <w:rPr>
          <w:rFonts w:asciiTheme="minorHAnsi" w:hAnsiTheme="minorHAnsi"/>
          <w:sz w:val="24"/>
          <w:szCs w:val="24"/>
        </w:rPr>
      </w:pPr>
      <w:r w:rsidRPr="00A929CE">
        <w:rPr>
          <w:rFonts w:asciiTheme="minorHAnsi" w:hAnsiTheme="minorHAnsi"/>
          <w:sz w:val="24"/>
          <w:szCs w:val="24"/>
        </w:rPr>
        <w:t>L’organisation de concertations périodiques en vue d’harmoniser les approches ;</w:t>
      </w:r>
    </w:p>
    <w:p w:rsidR="00EC66DA" w:rsidRPr="00A929CE" w:rsidRDefault="00EC66DA" w:rsidP="00A929CE">
      <w:pPr>
        <w:pStyle w:val="BodyTextind1"/>
        <w:spacing w:line="360" w:lineRule="auto"/>
        <w:rPr>
          <w:rFonts w:asciiTheme="minorHAnsi" w:hAnsiTheme="minorHAnsi"/>
          <w:iCs/>
          <w:color w:val="000000"/>
          <w:sz w:val="24"/>
          <w:szCs w:val="24"/>
        </w:rPr>
      </w:pPr>
      <w:r w:rsidRPr="00A929CE">
        <w:rPr>
          <w:rFonts w:asciiTheme="minorHAnsi" w:hAnsiTheme="minorHAnsi"/>
          <w:sz w:val="24"/>
          <w:szCs w:val="24"/>
        </w:rPr>
        <w:t>La coordination de la programmation intersectorielle.</w:t>
      </w:r>
    </w:p>
    <w:p w:rsidR="00EC66DA" w:rsidRPr="00A929CE" w:rsidRDefault="00EC66DA" w:rsidP="00A929CE">
      <w:pPr>
        <w:pStyle w:val="BodyText"/>
        <w:spacing w:line="360" w:lineRule="auto"/>
        <w:rPr>
          <w:rFonts w:asciiTheme="minorHAnsi" w:hAnsiTheme="minorHAnsi"/>
          <w:sz w:val="24"/>
          <w:szCs w:val="24"/>
        </w:rPr>
      </w:pPr>
      <w:r w:rsidRPr="00A929CE">
        <w:rPr>
          <w:rFonts w:asciiTheme="minorHAnsi" w:hAnsiTheme="minorHAnsi"/>
          <w:sz w:val="24"/>
          <w:szCs w:val="24"/>
        </w:rPr>
        <w:t>Le dispositif pour la coordination n’est cependant pas spécifié. Le document ne fait pas référence à un dialogue de gestion/management entre structures centrales et services déconcentrés ; mais, on peut imaginer que le dialogue se fera à travers les comités de suivi et par la CPS du ministère en charge de l’assainissement qui coordonne les ENAP, et ce, en lien avec la DNSI et les autres CPS.</w:t>
      </w:r>
      <w:r w:rsidRPr="00A929CE">
        <w:rPr>
          <w:rStyle w:val="Appelnotedebasdep"/>
          <w:rFonts w:asciiTheme="minorHAnsi" w:hAnsiTheme="minorHAnsi"/>
          <w:sz w:val="24"/>
          <w:szCs w:val="24"/>
        </w:rPr>
        <w:footnoteReference w:id="5"/>
      </w:r>
      <w:r w:rsidRPr="00A929CE">
        <w:rPr>
          <w:rFonts w:asciiTheme="minorHAnsi" w:hAnsiTheme="minorHAnsi"/>
          <w:sz w:val="24"/>
          <w:szCs w:val="24"/>
        </w:rPr>
        <w:t>.</w:t>
      </w:r>
    </w:p>
    <w:p w:rsidR="00EC66DA" w:rsidRPr="00A929CE" w:rsidRDefault="00EC66DA" w:rsidP="00A929CE">
      <w:pPr>
        <w:pStyle w:val="BodyText"/>
        <w:spacing w:line="360" w:lineRule="auto"/>
        <w:rPr>
          <w:rFonts w:asciiTheme="minorHAnsi" w:hAnsiTheme="minorHAnsi"/>
          <w:sz w:val="24"/>
          <w:szCs w:val="24"/>
        </w:rPr>
      </w:pPr>
      <w:r w:rsidRPr="00A929CE">
        <w:rPr>
          <w:rFonts w:asciiTheme="minorHAnsi" w:hAnsiTheme="minorHAnsi"/>
          <w:sz w:val="24"/>
          <w:szCs w:val="24"/>
        </w:rPr>
        <w:t>Par contre,</w:t>
      </w:r>
      <w:r w:rsidR="0088575D">
        <w:rPr>
          <w:rFonts w:asciiTheme="minorHAnsi" w:hAnsiTheme="minorHAnsi"/>
          <w:sz w:val="24"/>
          <w:szCs w:val="24"/>
        </w:rPr>
        <w:t xml:space="preserve"> </w:t>
      </w:r>
      <w:r w:rsidRPr="00A929CE">
        <w:rPr>
          <w:rFonts w:asciiTheme="minorHAnsi" w:hAnsiTheme="minorHAnsi"/>
          <w:sz w:val="24"/>
          <w:szCs w:val="24"/>
        </w:rPr>
        <w:t>les comités de suivi et le rôle de coordination dévolu à la CPS sont des facteurs qui peuvent contribuer à l’opérationnalisation de la P</w:t>
      </w:r>
      <w:r w:rsidR="00B8772C">
        <w:rPr>
          <w:rFonts w:asciiTheme="minorHAnsi" w:hAnsiTheme="minorHAnsi"/>
          <w:sz w:val="24"/>
          <w:szCs w:val="24"/>
        </w:rPr>
        <w:t>NA</w:t>
      </w:r>
      <w:r w:rsidRPr="00A929CE">
        <w:rPr>
          <w:rFonts w:asciiTheme="minorHAnsi" w:hAnsiTheme="minorHAnsi"/>
          <w:sz w:val="24"/>
          <w:szCs w:val="24"/>
        </w:rPr>
        <w:t>.</w:t>
      </w:r>
    </w:p>
    <w:p w:rsidR="004E497D" w:rsidRPr="00B8772C" w:rsidRDefault="002845C8" w:rsidP="00B8772C">
      <w:pPr>
        <w:pStyle w:val="Titre3"/>
        <w:spacing w:line="360" w:lineRule="auto"/>
        <w:rPr>
          <w:rFonts w:asciiTheme="minorHAnsi" w:hAnsiTheme="minorHAnsi"/>
          <w:sz w:val="24"/>
          <w:szCs w:val="24"/>
        </w:rPr>
      </w:pPr>
      <w:bookmarkStart w:id="6" w:name="_Toc536448564"/>
      <w:r w:rsidRPr="00B8772C">
        <w:rPr>
          <w:rFonts w:asciiTheme="minorHAnsi" w:hAnsiTheme="minorHAnsi"/>
          <w:sz w:val="24"/>
          <w:szCs w:val="24"/>
        </w:rPr>
        <w:t>Appréciation d</w:t>
      </w:r>
      <w:r w:rsidR="004E497D" w:rsidRPr="00B8772C">
        <w:rPr>
          <w:rFonts w:asciiTheme="minorHAnsi" w:hAnsiTheme="minorHAnsi"/>
          <w:sz w:val="24"/>
          <w:szCs w:val="24"/>
        </w:rPr>
        <w:t>es axes d’orientation de la PNA</w:t>
      </w:r>
      <w:bookmarkEnd w:id="6"/>
    </w:p>
    <w:p w:rsidR="004E497D" w:rsidRPr="001754BB" w:rsidRDefault="004E497D" w:rsidP="00B8772C">
      <w:pPr>
        <w:spacing w:line="360" w:lineRule="auto"/>
        <w:jc w:val="both"/>
        <w:rPr>
          <w:rFonts w:asciiTheme="minorHAnsi" w:hAnsiTheme="minorHAnsi" w:cstheme="minorHAnsi"/>
          <w:color w:val="000000"/>
          <w:sz w:val="24"/>
          <w:szCs w:val="24"/>
        </w:rPr>
      </w:pPr>
      <w:r w:rsidRPr="001754BB">
        <w:rPr>
          <w:rFonts w:asciiTheme="minorHAnsi" w:hAnsiTheme="minorHAnsi" w:cstheme="minorHAnsi"/>
          <w:color w:val="000000"/>
          <w:sz w:val="24"/>
          <w:szCs w:val="24"/>
        </w:rPr>
        <w:t xml:space="preserve">Le document de politique nationale d’assainissement </w:t>
      </w:r>
      <w:r w:rsidR="00F51154">
        <w:rPr>
          <w:rFonts w:asciiTheme="minorHAnsi" w:hAnsiTheme="minorHAnsi" w:cstheme="minorHAnsi"/>
          <w:color w:val="FF0000"/>
          <w:sz w:val="24"/>
          <w:szCs w:val="24"/>
        </w:rPr>
        <w:t xml:space="preserve">bien qu’étant le cadre de référence en la matière, </w:t>
      </w:r>
      <w:r w:rsidRPr="001754BB">
        <w:rPr>
          <w:rFonts w:asciiTheme="minorHAnsi" w:hAnsiTheme="minorHAnsi" w:cstheme="minorHAnsi"/>
          <w:color w:val="000000"/>
          <w:sz w:val="24"/>
          <w:szCs w:val="24"/>
        </w:rPr>
        <w:t>ne formule pas clairement des axes d’orientation autour desquels des activités pourraient être organisées selon un enchainement logique.</w:t>
      </w:r>
    </w:p>
    <w:p w:rsidR="004E497D" w:rsidRPr="00112EE9" w:rsidRDefault="004E497D" w:rsidP="00B8772C">
      <w:pPr>
        <w:spacing w:line="360" w:lineRule="auto"/>
        <w:jc w:val="both"/>
        <w:rPr>
          <w:rFonts w:asciiTheme="minorHAnsi" w:hAnsiTheme="minorHAnsi" w:cstheme="minorHAnsi"/>
          <w:sz w:val="24"/>
          <w:szCs w:val="24"/>
        </w:rPr>
      </w:pPr>
      <w:r w:rsidRPr="00BC7FF5">
        <w:rPr>
          <w:rFonts w:asciiTheme="minorHAnsi" w:hAnsiTheme="minorHAnsi" w:cstheme="minorHAnsi"/>
          <w:sz w:val="24"/>
          <w:szCs w:val="24"/>
        </w:rPr>
        <w:t>Nonobstant ces défauts de conception, ledit document expose largement des projections de « résultats » à atteindre sans qu’on ne sache ce qui a pu leur servir de fondeme</w:t>
      </w:r>
      <w:r w:rsidRPr="00112EE9">
        <w:rPr>
          <w:rFonts w:asciiTheme="minorHAnsi" w:hAnsiTheme="minorHAnsi" w:cstheme="minorHAnsi"/>
          <w:sz w:val="24"/>
          <w:szCs w:val="24"/>
        </w:rPr>
        <w:t xml:space="preserve">nt, encore moins les objectifs et les axes auxquels ils se rattachent. </w:t>
      </w:r>
    </w:p>
    <w:p w:rsidR="004E497D" w:rsidRPr="00112EE9" w:rsidRDefault="004E497D" w:rsidP="001754BB">
      <w:pPr>
        <w:spacing w:line="360" w:lineRule="auto"/>
        <w:jc w:val="both"/>
        <w:rPr>
          <w:rFonts w:asciiTheme="minorHAnsi" w:hAnsiTheme="minorHAnsi" w:cstheme="minorHAnsi"/>
          <w:bCs/>
          <w:iCs/>
          <w:sz w:val="24"/>
          <w:szCs w:val="24"/>
        </w:rPr>
      </w:pPr>
      <w:r w:rsidRPr="00112EE9">
        <w:rPr>
          <w:rFonts w:asciiTheme="minorHAnsi" w:hAnsiTheme="minorHAnsi" w:cstheme="minorHAnsi"/>
          <w:bCs/>
          <w:iCs/>
          <w:sz w:val="24"/>
          <w:szCs w:val="24"/>
        </w:rPr>
        <w:t xml:space="preserve">Les stratégies sous sectorielles comportent chacune un plan d’actions mais ces derniers sont isolés parce qu’ils n’ont pas de liens entre eux. Aussi, ces plans d’actions ne sont pas formulés en référence à des objectifs et des résultats attendus. Ils ressemblent plutôt à une présentation synoptique des activités à mettre en œuvre, ce qui ne permet pas d’apprécier les changements intervenus du fait de la mise en œuvre de la PNA. </w:t>
      </w:r>
    </w:p>
    <w:p w:rsidR="004E497D" w:rsidRPr="00A929CE" w:rsidRDefault="004E497D" w:rsidP="001754BB">
      <w:pPr>
        <w:spacing w:line="360" w:lineRule="auto"/>
        <w:jc w:val="both"/>
        <w:rPr>
          <w:rFonts w:asciiTheme="minorHAnsi" w:eastAsia="Calibri" w:hAnsiTheme="minorHAnsi" w:cstheme="minorHAnsi"/>
          <w:sz w:val="24"/>
          <w:szCs w:val="24"/>
        </w:rPr>
      </w:pPr>
      <w:r w:rsidRPr="00A929CE">
        <w:rPr>
          <w:rFonts w:asciiTheme="minorHAnsi" w:hAnsiTheme="minorHAnsi" w:cstheme="minorHAnsi"/>
          <w:sz w:val="24"/>
          <w:szCs w:val="24"/>
        </w:rPr>
        <w:t xml:space="preserve">En tout état de cause, même à supposer que des cadres logiques aient été élaborés, en l’absence d’une situation de référence établie au démarrage de la mise en œuvre desdites stratégies, la mesure des progrès enregistrés resterait une contrainte difficile à surmonter. En effet, le suivi-évaluation implique l’existence d’une situation de départ en référence à laquelle les progrès accomplis seront appréciés. </w:t>
      </w:r>
      <w:r w:rsidRPr="00A929CE">
        <w:rPr>
          <w:rFonts w:asciiTheme="minorHAnsi" w:eastAsia="Calibri" w:hAnsiTheme="minorHAnsi" w:cstheme="minorHAnsi"/>
          <w:sz w:val="24"/>
          <w:szCs w:val="24"/>
        </w:rPr>
        <w:t>Il est évident qu’en l’absence d’une situation de référence, les cibles à atteindre n’ont pas pu être objectivement déterminées.</w:t>
      </w:r>
    </w:p>
    <w:p w:rsidR="004E497D" w:rsidRPr="00A929CE" w:rsidRDefault="002845C8" w:rsidP="00A929CE">
      <w:pPr>
        <w:pStyle w:val="Titre3"/>
        <w:spacing w:line="360" w:lineRule="auto"/>
        <w:rPr>
          <w:rFonts w:asciiTheme="minorHAnsi" w:hAnsiTheme="minorHAnsi"/>
          <w:sz w:val="24"/>
          <w:szCs w:val="24"/>
        </w:rPr>
      </w:pPr>
      <w:bookmarkStart w:id="7" w:name="_Toc536448565"/>
      <w:r w:rsidRPr="00A929CE">
        <w:rPr>
          <w:rFonts w:asciiTheme="minorHAnsi" w:hAnsiTheme="minorHAnsi"/>
          <w:sz w:val="24"/>
          <w:szCs w:val="24"/>
        </w:rPr>
        <w:t>E</w:t>
      </w:r>
      <w:r w:rsidR="004E497D" w:rsidRPr="00A929CE">
        <w:rPr>
          <w:rFonts w:asciiTheme="minorHAnsi" w:hAnsiTheme="minorHAnsi"/>
          <w:sz w:val="24"/>
          <w:szCs w:val="24"/>
        </w:rPr>
        <w:t xml:space="preserve">valuation selon les critères </w:t>
      </w:r>
      <w:r w:rsidRPr="00A929CE">
        <w:rPr>
          <w:rFonts w:asciiTheme="minorHAnsi" w:hAnsiTheme="minorHAnsi"/>
          <w:sz w:val="24"/>
          <w:szCs w:val="24"/>
        </w:rPr>
        <w:t>du Comité d’Aide au Développement (</w:t>
      </w:r>
      <w:r w:rsidR="004E497D" w:rsidRPr="00A929CE">
        <w:rPr>
          <w:rFonts w:asciiTheme="minorHAnsi" w:hAnsiTheme="minorHAnsi"/>
          <w:sz w:val="24"/>
          <w:szCs w:val="24"/>
        </w:rPr>
        <w:t>CAD</w:t>
      </w:r>
      <w:r w:rsidRPr="00A929CE">
        <w:rPr>
          <w:rFonts w:asciiTheme="minorHAnsi" w:hAnsiTheme="minorHAnsi"/>
          <w:sz w:val="24"/>
          <w:szCs w:val="24"/>
        </w:rPr>
        <w:t>)</w:t>
      </w:r>
      <w:bookmarkEnd w:id="7"/>
    </w:p>
    <w:p w:rsidR="00D810B4" w:rsidRPr="00A929CE" w:rsidRDefault="00D810B4" w:rsidP="00A929CE">
      <w:pPr>
        <w:pStyle w:val="Titre4"/>
        <w:spacing w:line="360" w:lineRule="auto"/>
        <w:rPr>
          <w:rFonts w:asciiTheme="minorHAnsi" w:hAnsiTheme="minorHAnsi"/>
          <w:sz w:val="24"/>
          <w:szCs w:val="24"/>
        </w:rPr>
      </w:pPr>
      <w:bookmarkStart w:id="8" w:name="_Toc536448566"/>
      <w:r w:rsidRPr="00A929CE">
        <w:rPr>
          <w:rFonts w:asciiTheme="minorHAnsi" w:hAnsiTheme="minorHAnsi"/>
          <w:sz w:val="24"/>
          <w:szCs w:val="24"/>
        </w:rPr>
        <w:t>La pertinence</w:t>
      </w:r>
      <w:bookmarkEnd w:id="8"/>
      <w:r w:rsidRPr="00A929CE">
        <w:rPr>
          <w:rFonts w:asciiTheme="minorHAnsi" w:hAnsiTheme="minorHAnsi"/>
          <w:sz w:val="24"/>
          <w:szCs w:val="24"/>
        </w:rPr>
        <w:t xml:space="preserve">  </w:t>
      </w:r>
    </w:p>
    <w:p w:rsidR="001754BB" w:rsidRPr="00A929CE" w:rsidRDefault="001754BB" w:rsidP="00A929CE">
      <w:pPr>
        <w:autoSpaceDE w:val="0"/>
        <w:autoSpaceDN w:val="0"/>
        <w:adjustRightInd w:val="0"/>
        <w:spacing w:line="360" w:lineRule="auto"/>
        <w:jc w:val="both"/>
        <w:rPr>
          <w:rFonts w:asciiTheme="minorHAnsi" w:hAnsiTheme="minorHAnsi"/>
          <w:sz w:val="24"/>
          <w:szCs w:val="24"/>
          <w:lang w:eastAsia="fr-FR"/>
        </w:rPr>
      </w:pPr>
      <w:r w:rsidRPr="00A929CE">
        <w:rPr>
          <w:rFonts w:asciiTheme="minorHAnsi" w:hAnsiTheme="minorHAnsi"/>
          <w:sz w:val="24"/>
          <w:szCs w:val="24"/>
          <w:lang w:eastAsia="fr-FR"/>
        </w:rPr>
        <w:t xml:space="preserve">La </w:t>
      </w:r>
      <w:r w:rsidRPr="00A929CE">
        <w:rPr>
          <w:rFonts w:asciiTheme="minorHAnsi" w:hAnsiTheme="minorHAnsi"/>
          <w:b/>
          <w:sz w:val="24"/>
          <w:szCs w:val="24"/>
          <w:lang w:eastAsia="fr-FR"/>
        </w:rPr>
        <w:t xml:space="preserve">pertinence </w:t>
      </w:r>
      <w:r w:rsidRPr="00A929CE">
        <w:rPr>
          <w:rFonts w:asciiTheme="minorHAnsi" w:hAnsiTheme="minorHAnsi"/>
          <w:sz w:val="24"/>
          <w:szCs w:val="24"/>
          <w:lang w:eastAsia="fr-FR"/>
        </w:rPr>
        <w:t xml:space="preserve">de la PNA est vérifiée au regard des besoins des populations maliennes dans le cadre de leur accès à un service d’assainissement adéquat. Ainsi, les résultats </w:t>
      </w:r>
      <w:r w:rsidR="00BC7FF5" w:rsidRPr="00A929CE">
        <w:rPr>
          <w:rFonts w:asciiTheme="minorHAnsi" w:hAnsiTheme="minorHAnsi"/>
          <w:sz w:val="24"/>
          <w:szCs w:val="24"/>
          <w:lang w:eastAsia="fr-FR"/>
        </w:rPr>
        <w:t xml:space="preserve">assignés à la PNA </w:t>
      </w:r>
      <w:r w:rsidRPr="00A929CE">
        <w:rPr>
          <w:rFonts w:asciiTheme="minorHAnsi" w:hAnsiTheme="minorHAnsi"/>
          <w:sz w:val="24"/>
          <w:szCs w:val="24"/>
          <w:lang w:eastAsia="fr-FR"/>
        </w:rPr>
        <w:t>viennent augmenter conséquemment le taux d</w:t>
      </w:r>
      <w:r w:rsidR="00BC7FF5" w:rsidRPr="00A929CE">
        <w:rPr>
          <w:rFonts w:asciiTheme="minorHAnsi" w:hAnsiTheme="minorHAnsi"/>
          <w:sz w:val="24"/>
          <w:szCs w:val="24"/>
          <w:lang w:eastAsia="fr-FR"/>
        </w:rPr>
        <w:t xml:space="preserve">’accès à l’assainissement. </w:t>
      </w:r>
      <w:r w:rsidR="00BC7FF5" w:rsidRPr="00DF47E6">
        <w:rPr>
          <w:rFonts w:asciiTheme="minorHAnsi" w:hAnsiTheme="minorHAnsi" w:cstheme="minorHAnsi"/>
          <w:sz w:val="24"/>
          <w:szCs w:val="24"/>
        </w:rPr>
        <w:t>La PNA est alignée sur les orientations nationales dans le domaine. Les orientations stratégiques nationales en matière d’assainissement ont d’abord été énoncées par la Constitution malienne</w:t>
      </w:r>
      <w:r w:rsidR="00C33EAE">
        <w:rPr>
          <w:rFonts w:asciiTheme="minorHAnsi" w:hAnsiTheme="minorHAnsi" w:cstheme="minorHAnsi"/>
          <w:sz w:val="24"/>
          <w:szCs w:val="24"/>
        </w:rPr>
        <w:t xml:space="preserve">. </w:t>
      </w:r>
      <w:r w:rsidR="00BC7FF5" w:rsidRPr="00DF47E6">
        <w:rPr>
          <w:rFonts w:asciiTheme="minorHAnsi" w:hAnsiTheme="minorHAnsi" w:cstheme="minorHAnsi"/>
          <w:sz w:val="24"/>
          <w:szCs w:val="24"/>
        </w:rPr>
        <w:t xml:space="preserve">Plus globalement, le </w:t>
      </w:r>
      <w:r w:rsidR="00BC7FF5" w:rsidRPr="00DF47E6">
        <w:rPr>
          <w:rFonts w:asciiTheme="minorHAnsi" w:hAnsiTheme="minorHAnsi" w:cstheme="minorHAnsi"/>
          <w:bCs/>
          <w:sz w:val="24"/>
          <w:szCs w:val="24"/>
        </w:rPr>
        <w:t xml:space="preserve">Cadre Stratégique pour la Croissance et la Réduction de la Pauvreté </w:t>
      </w:r>
      <w:r w:rsidR="00BC7FF5" w:rsidRPr="00DF47E6">
        <w:rPr>
          <w:rFonts w:asciiTheme="minorHAnsi" w:hAnsiTheme="minorHAnsi" w:cstheme="minorHAnsi"/>
          <w:sz w:val="24"/>
          <w:szCs w:val="24"/>
        </w:rPr>
        <w:t>(CSCRP) élaboré en 2002 par le Gouvernement, souligne la dimension économique de l’assainissement et son caractère incontournable dans</w:t>
      </w:r>
      <w:r w:rsidR="0088575D">
        <w:rPr>
          <w:rFonts w:asciiTheme="minorHAnsi" w:hAnsiTheme="minorHAnsi" w:cstheme="minorHAnsi"/>
          <w:sz w:val="24"/>
          <w:szCs w:val="24"/>
        </w:rPr>
        <w:t xml:space="preserve"> </w:t>
      </w:r>
      <w:r w:rsidR="00BC7FF5" w:rsidRPr="00DF47E6">
        <w:rPr>
          <w:rFonts w:asciiTheme="minorHAnsi" w:hAnsiTheme="minorHAnsi" w:cstheme="minorHAnsi"/>
          <w:sz w:val="24"/>
          <w:szCs w:val="24"/>
        </w:rPr>
        <w:t xml:space="preserve">la lutte contre la pauvreté. </w:t>
      </w:r>
      <w:r w:rsidR="00C33EAE">
        <w:rPr>
          <w:rFonts w:asciiTheme="minorHAnsi" w:hAnsiTheme="minorHAnsi" w:cstheme="minorHAnsi"/>
          <w:sz w:val="24"/>
          <w:szCs w:val="24"/>
        </w:rPr>
        <w:t>Il en va de même pour l</w:t>
      </w:r>
      <w:r w:rsidR="00BC7FF5" w:rsidRPr="00DF47E6">
        <w:rPr>
          <w:rFonts w:asciiTheme="minorHAnsi" w:hAnsiTheme="minorHAnsi" w:cstheme="minorHAnsi"/>
          <w:sz w:val="24"/>
          <w:szCs w:val="24"/>
        </w:rPr>
        <w:t xml:space="preserve">e cadre stratégique pour la relance économique et le développement durable du Mali (CREDD 2016-2018) </w:t>
      </w:r>
      <w:r w:rsidR="00C33EAE">
        <w:rPr>
          <w:rFonts w:asciiTheme="minorHAnsi" w:hAnsiTheme="minorHAnsi" w:cstheme="minorHAnsi"/>
          <w:sz w:val="24"/>
          <w:szCs w:val="24"/>
        </w:rPr>
        <w:t xml:space="preserve">qui souligne </w:t>
      </w:r>
      <w:r w:rsidR="00BC7FF5" w:rsidRPr="00DF47E6">
        <w:rPr>
          <w:rFonts w:asciiTheme="minorHAnsi" w:hAnsiTheme="minorHAnsi" w:cstheme="minorHAnsi"/>
          <w:sz w:val="24"/>
          <w:szCs w:val="24"/>
        </w:rPr>
        <w:t>que l’accès aux infrastructures d’assainissement a un impact direct sur les conditions de vie et sur l’état de santé de la population</w:t>
      </w:r>
      <w:r w:rsidR="00C33EAE">
        <w:rPr>
          <w:rFonts w:asciiTheme="minorHAnsi" w:hAnsiTheme="minorHAnsi" w:cstheme="minorHAnsi"/>
          <w:sz w:val="24"/>
          <w:szCs w:val="24"/>
        </w:rPr>
        <w:t>. La</w:t>
      </w:r>
      <w:r w:rsidR="00BC7FF5" w:rsidRPr="00DF47E6">
        <w:rPr>
          <w:rFonts w:asciiTheme="minorHAnsi" w:hAnsiTheme="minorHAnsi" w:cstheme="minorHAnsi"/>
          <w:sz w:val="24"/>
          <w:szCs w:val="24"/>
        </w:rPr>
        <w:t xml:space="preserve"> PNA contribue à l’atteinte des objectifs supérieurs des cadres stratégiques nationaux précités. La PNA est également alignée sur les engagements internationaux souscrits par le Mali dans le sous-secteur de l’assainissement. </w:t>
      </w:r>
    </w:p>
    <w:p w:rsidR="00D810B4" w:rsidRPr="00A929CE" w:rsidRDefault="00D810B4" w:rsidP="00A929CE">
      <w:pPr>
        <w:pStyle w:val="Titre4"/>
        <w:spacing w:line="360" w:lineRule="auto"/>
        <w:jc w:val="both"/>
        <w:rPr>
          <w:rFonts w:asciiTheme="minorHAnsi" w:hAnsiTheme="minorHAnsi"/>
          <w:sz w:val="24"/>
          <w:szCs w:val="24"/>
        </w:rPr>
      </w:pPr>
      <w:bookmarkStart w:id="9" w:name="_Toc536448567"/>
      <w:r w:rsidRPr="00A929CE">
        <w:rPr>
          <w:rFonts w:asciiTheme="minorHAnsi" w:hAnsiTheme="minorHAnsi"/>
          <w:sz w:val="24"/>
          <w:szCs w:val="24"/>
        </w:rPr>
        <w:t>L’efficacité</w:t>
      </w:r>
      <w:bookmarkEnd w:id="9"/>
      <w:r w:rsidRPr="00A929CE">
        <w:rPr>
          <w:rFonts w:asciiTheme="minorHAnsi" w:hAnsiTheme="minorHAnsi"/>
          <w:sz w:val="24"/>
          <w:szCs w:val="24"/>
        </w:rPr>
        <w:t> </w:t>
      </w:r>
    </w:p>
    <w:p w:rsidR="00D810B4" w:rsidRPr="007F37D7" w:rsidRDefault="00BC7FF5" w:rsidP="00D54C69">
      <w:pPr>
        <w:spacing w:line="360" w:lineRule="auto"/>
        <w:jc w:val="both"/>
        <w:rPr>
          <w:rFonts w:ascii="Tw Cen MT" w:hAnsi="Tw Cen MT" w:cstheme="minorHAnsi"/>
          <w:sz w:val="24"/>
          <w:szCs w:val="24"/>
          <w:lang w:eastAsia="fr-FR"/>
        </w:rPr>
      </w:pPr>
      <w:r w:rsidRPr="00A929CE">
        <w:rPr>
          <w:rFonts w:asciiTheme="minorHAnsi" w:hAnsiTheme="minorHAnsi"/>
          <w:sz w:val="24"/>
          <w:szCs w:val="24"/>
          <w:lang w:eastAsia="fr-FR"/>
        </w:rPr>
        <w:t>L’</w:t>
      </w:r>
      <w:r w:rsidRPr="00A929CE">
        <w:rPr>
          <w:rFonts w:asciiTheme="minorHAnsi" w:hAnsiTheme="minorHAnsi"/>
          <w:b/>
          <w:sz w:val="24"/>
          <w:szCs w:val="24"/>
          <w:lang w:eastAsia="fr-FR"/>
        </w:rPr>
        <w:t>efficacité</w:t>
      </w:r>
      <w:r w:rsidR="00453352">
        <w:rPr>
          <w:rFonts w:asciiTheme="minorHAnsi" w:hAnsiTheme="minorHAnsi"/>
          <w:b/>
          <w:sz w:val="24"/>
          <w:szCs w:val="24"/>
          <w:lang w:eastAsia="fr-FR"/>
        </w:rPr>
        <w:t xml:space="preserve"> </w:t>
      </w:r>
      <w:r w:rsidR="005274C0">
        <w:rPr>
          <w:rFonts w:asciiTheme="minorHAnsi" w:hAnsiTheme="minorHAnsi"/>
          <w:sz w:val="24"/>
          <w:szCs w:val="24"/>
          <w:lang w:eastAsia="fr-FR"/>
        </w:rPr>
        <w:t xml:space="preserve">de la mise en œuvre de la PNA </w:t>
      </w:r>
      <w:r w:rsidRPr="00A929CE">
        <w:rPr>
          <w:rFonts w:asciiTheme="minorHAnsi" w:hAnsiTheme="minorHAnsi"/>
          <w:sz w:val="24"/>
          <w:szCs w:val="24"/>
          <w:lang w:eastAsia="fr-FR"/>
        </w:rPr>
        <w:t>a souffert de</w:t>
      </w:r>
      <w:r w:rsidR="005274C0">
        <w:rPr>
          <w:rFonts w:asciiTheme="minorHAnsi" w:hAnsiTheme="minorHAnsi"/>
          <w:sz w:val="24"/>
          <w:szCs w:val="24"/>
          <w:lang w:eastAsia="fr-FR"/>
        </w:rPr>
        <w:t xml:space="preserve"> la non mise en place des outils/organes nécessaires à un pilotage idoine des actions et activités devant concourir à l’atteinte des cibles </w:t>
      </w:r>
      <w:r w:rsidR="00137E10">
        <w:rPr>
          <w:rFonts w:asciiTheme="minorHAnsi" w:hAnsiTheme="minorHAnsi"/>
          <w:sz w:val="24"/>
          <w:szCs w:val="24"/>
          <w:lang w:eastAsia="fr-FR"/>
        </w:rPr>
        <w:t>prévues.</w:t>
      </w:r>
      <w:r w:rsidR="005274C0">
        <w:rPr>
          <w:rFonts w:asciiTheme="minorHAnsi" w:hAnsiTheme="minorHAnsi"/>
          <w:sz w:val="24"/>
          <w:szCs w:val="24"/>
          <w:lang w:eastAsia="fr-FR"/>
        </w:rPr>
        <w:t xml:space="preserve"> La synergie </w:t>
      </w:r>
      <w:r w:rsidR="00137E10">
        <w:rPr>
          <w:rFonts w:asciiTheme="minorHAnsi" w:hAnsiTheme="minorHAnsi"/>
          <w:sz w:val="24"/>
          <w:szCs w:val="24"/>
          <w:lang w:eastAsia="fr-FR"/>
        </w:rPr>
        <w:t xml:space="preserve">entre </w:t>
      </w:r>
      <w:r w:rsidR="00453352">
        <w:rPr>
          <w:rFonts w:asciiTheme="minorHAnsi" w:hAnsiTheme="minorHAnsi"/>
          <w:sz w:val="24"/>
          <w:szCs w:val="24"/>
          <w:lang w:eastAsia="fr-FR"/>
        </w:rPr>
        <w:t>les acteurs</w:t>
      </w:r>
      <w:r w:rsidR="005274C0">
        <w:rPr>
          <w:rFonts w:asciiTheme="minorHAnsi" w:hAnsiTheme="minorHAnsi"/>
          <w:sz w:val="24"/>
          <w:szCs w:val="24"/>
          <w:lang w:eastAsia="fr-FR"/>
        </w:rPr>
        <w:t xml:space="preserve"> clés n’a pas été au rendez-vous, faute de coordination et de concertation permanente. L’efficacité de la mise en œuvre de la PNA a également souffert d’u</w:t>
      </w:r>
      <w:r w:rsidRPr="00A929CE">
        <w:rPr>
          <w:rFonts w:asciiTheme="minorHAnsi" w:hAnsiTheme="minorHAnsi"/>
          <w:sz w:val="24"/>
          <w:szCs w:val="24"/>
          <w:lang w:eastAsia="fr-FR"/>
        </w:rPr>
        <w:t>ne organisation non appropriée des activités</w:t>
      </w:r>
      <w:r w:rsidR="005274C0">
        <w:rPr>
          <w:rFonts w:asciiTheme="minorHAnsi" w:hAnsiTheme="minorHAnsi"/>
          <w:sz w:val="24"/>
          <w:szCs w:val="24"/>
          <w:lang w:eastAsia="fr-FR"/>
        </w:rPr>
        <w:t xml:space="preserve">. </w:t>
      </w:r>
      <w:r w:rsidRPr="00A929CE">
        <w:rPr>
          <w:rFonts w:asciiTheme="minorHAnsi" w:hAnsiTheme="minorHAnsi"/>
          <w:sz w:val="24"/>
          <w:szCs w:val="24"/>
          <w:lang w:eastAsia="fr-FR"/>
        </w:rPr>
        <w:t xml:space="preserve">La mission pense qu’il est </w:t>
      </w:r>
      <w:r w:rsidR="005274C0">
        <w:rPr>
          <w:rFonts w:asciiTheme="minorHAnsi" w:hAnsiTheme="minorHAnsi"/>
          <w:sz w:val="24"/>
          <w:szCs w:val="24"/>
          <w:lang w:eastAsia="fr-FR"/>
        </w:rPr>
        <w:t>difficile d</w:t>
      </w:r>
      <w:r w:rsidRPr="00A929CE">
        <w:rPr>
          <w:rFonts w:asciiTheme="minorHAnsi" w:hAnsiTheme="minorHAnsi"/>
          <w:sz w:val="24"/>
          <w:szCs w:val="24"/>
          <w:lang w:eastAsia="fr-FR"/>
        </w:rPr>
        <w:t>e mesurer l’efficacité d</w:t>
      </w:r>
      <w:r w:rsidR="005274C0">
        <w:rPr>
          <w:rFonts w:asciiTheme="minorHAnsi" w:hAnsiTheme="minorHAnsi"/>
          <w:sz w:val="24"/>
          <w:szCs w:val="24"/>
          <w:lang w:eastAsia="fr-FR"/>
        </w:rPr>
        <w:t xml:space="preserve">e la mise en œuvre de la PNA </w:t>
      </w:r>
      <w:r w:rsidRPr="00A929CE">
        <w:rPr>
          <w:rFonts w:asciiTheme="minorHAnsi" w:hAnsiTheme="minorHAnsi"/>
          <w:sz w:val="24"/>
          <w:szCs w:val="24"/>
          <w:lang w:eastAsia="fr-FR"/>
        </w:rPr>
        <w:t xml:space="preserve">dans sa contribution </w:t>
      </w:r>
      <w:r w:rsidR="005274C0">
        <w:rPr>
          <w:rFonts w:asciiTheme="minorHAnsi" w:hAnsiTheme="minorHAnsi"/>
          <w:sz w:val="24"/>
          <w:szCs w:val="24"/>
          <w:lang w:eastAsia="fr-FR"/>
        </w:rPr>
        <w:t xml:space="preserve">aux effets et impacts </w:t>
      </w:r>
      <w:r w:rsidR="005274C0" w:rsidRPr="007F37D7">
        <w:rPr>
          <w:rFonts w:asciiTheme="minorHAnsi" w:hAnsiTheme="minorHAnsi"/>
          <w:sz w:val="24"/>
          <w:szCs w:val="24"/>
          <w:lang w:eastAsia="fr-FR"/>
        </w:rPr>
        <w:t>projetés</w:t>
      </w:r>
      <w:r w:rsidR="005274C0">
        <w:rPr>
          <w:rFonts w:asciiTheme="minorHAnsi" w:hAnsiTheme="minorHAnsi"/>
          <w:sz w:val="24"/>
          <w:szCs w:val="24"/>
          <w:lang w:eastAsia="fr-FR"/>
        </w:rPr>
        <w:t xml:space="preserve"> dans le document</w:t>
      </w:r>
      <w:r w:rsidR="00447702">
        <w:rPr>
          <w:rFonts w:asciiTheme="minorHAnsi" w:hAnsiTheme="minorHAnsi"/>
          <w:sz w:val="24"/>
          <w:szCs w:val="24"/>
          <w:lang w:eastAsia="fr-FR"/>
        </w:rPr>
        <w:t xml:space="preserve"> </w:t>
      </w:r>
      <w:r w:rsidR="005274C0">
        <w:rPr>
          <w:rFonts w:asciiTheme="minorHAnsi" w:hAnsiTheme="minorHAnsi"/>
          <w:sz w:val="24"/>
          <w:szCs w:val="24"/>
          <w:lang w:eastAsia="fr-FR"/>
        </w:rPr>
        <w:t>PNA</w:t>
      </w:r>
      <w:r w:rsidR="0022409F">
        <w:rPr>
          <w:rFonts w:asciiTheme="minorHAnsi" w:hAnsiTheme="minorHAnsi"/>
          <w:sz w:val="24"/>
          <w:szCs w:val="24"/>
          <w:lang w:eastAsia="fr-FR"/>
        </w:rPr>
        <w:t>, q</w:t>
      </w:r>
      <w:r w:rsidRPr="00A929CE">
        <w:rPr>
          <w:rFonts w:asciiTheme="minorHAnsi" w:hAnsiTheme="minorHAnsi"/>
          <w:sz w:val="24"/>
          <w:szCs w:val="24"/>
          <w:lang w:eastAsia="fr-FR"/>
        </w:rPr>
        <w:t xml:space="preserve">uand bien même que sur le plan des réalisations d’infrastructures, un effort considérable ait été fait. Cette efficacité </w:t>
      </w:r>
      <w:r w:rsidR="0022409F">
        <w:rPr>
          <w:rFonts w:asciiTheme="minorHAnsi" w:hAnsiTheme="minorHAnsi"/>
          <w:sz w:val="24"/>
          <w:szCs w:val="24"/>
          <w:lang w:eastAsia="fr-FR"/>
        </w:rPr>
        <w:t xml:space="preserve">aurait pu être </w:t>
      </w:r>
      <w:r w:rsidRPr="00A929CE">
        <w:rPr>
          <w:rFonts w:asciiTheme="minorHAnsi" w:hAnsiTheme="minorHAnsi"/>
          <w:sz w:val="24"/>
          <w:szCs w:val="24"/>
          <w:lang w:eastAsia="fr-FR"/>
        </w:rPr>
        <w:t xml:space="preserve">pleinement démontrée </w:t>
      </w:r>
      <w:r w:rsidR="0022409F">
        <w:rPr>
          <w:rFonts w:asciiTheme="minorHAnsi" w:hAnsiTheme="minorHAnsi"/>
          <w:sz w:val="24"/>
          <w:szCs w:val="24"/>
          <w:lang w:eastAsia="fr-FR"/>
        </w:rPr>
        <w:t xml:space="preserve">si la </w:t>
      </w:r>
      <w:r w:rsidRPr="00A929CE">
        <w:rPr>
          <w:rFonts w:asciiTheme="minorHAnsi" w:hAnsiTheme="minorHAnsi"/>
          <w:sz w:val="24"/>
          <w:szCs w:val="24"/>
          <w:lang w:eastAsia="fr-FR"/>
        </w:rPr>
        <w:t xml:space="preserve">mise en </w:t>
      </w:r>
      <w:r w:rsidR="0022409F">
        <w:rPr>
          <w:rFonts w:asciiTheme="minorHAnsi" w:hAnsiTheme="minorHAnsi"/>
          <w:sz w:val="24"/>
          <w:szCs w:val="24"/>
          <w:lang w:eastAsia="fr-FR"/>
        </w:rPr>
        <w:t>place des outils/organes avait été effective.</w:t>
      </w:r>
      <w:r w:rsidR="00421B94">
        <w:rPr>
          <w:rFonts w:asciiTheme="minorHAnsi" w:hAnsiTheme="minorHAnsi"/>
          <w:sz w:val="24"/>
          <w:szCs w:val="24"/>
          <w:lang w:eastAsia="fr-FR"/>
        </w:rPr>
        <w:t xml:space="preserve"> En dépit de ces contraintes, les </w:t>
      </w:r>
      <w:r w:rsidR="00D810B4" w:rsidRPr="00D54C69">
        <w:rPr>
          <w:rFonts w:ascii="Tw Cen MT" w:hAnsi="Tw Cen MT" w:cstheme="minorHAnsi"/>
          <w:sz w:val="24"/>
          <w:szCs w:val="24"/>
          <w:lang w:eastAsia="fr-FR"/>
        </w:rPr>
        <w:t xml:space="preserve">appréciations </w:t>
      </w:r>
      <w:r w:rsidR="00421B94" w:rsidRPr="007F37D7">
        <w:rPr>
          <w:rFonts w:ascii="Tw Cen MT" w:hAnsi="Tw Cen MT" w:cstheme="minorHAnsi"/>
          <w:sz w:val="24"/>
          <w:szCs w:val="24"/>
          <w:lang w:eastAsia="fr-FR"/>
        </w:rPr>
        <w:t xml:space="preserve">positives </w:t>
      </w:r>
      <w:r w:rsidR="00D810B4" w:rsidRPr="007F37D7">
        <w:rPr>
          <w:rFonts w:ascii="Tw Cen MT" w:hAnsi="Tw Cen MT" w:cstheme="minorHAnsi"/>
          <w:sz w:val="24"/>
          <w:szCs w:val="24"/>
          <w:lang w:eastAsia="fr-FR"/>
        </w:rPr>
        <w:t>suivantes peuvent être formulées :</w:t>
      </w:r>
    </w:p>
    <w:p w:rsidR="00421B94" w:rsidRPr="002560DE" w:rsidRDefault="00421B94" w:rsidP="00D54C69">
      <w:pPr>
        <w:pStyle w:val="Sansinterligne"/>
        <w:numPr>
          <w:ilvl w:val="0"/>
          <w:numId w:val="24"/>
        </w:numPr>
        <w:spacing w:line="360" w:lineRule="auto"/>
        <w:jc w:val="both"/>
        <w:rPr>
          <w:rFonts w:ascii="Tw Cen MT" w:hAnsi="Tw Cen MT" w:cs="Tahoma"/>
          <w:sz w:val="24"/>
          <w:szCs w:val="24"/>
          <w:highlight w:val="cyan"/>
        </w:rPr>
      </w:pPr>
      <w:r w:rsidRPr="00453352">
        <w:rPr>
          <w:rStyle w:val="BodyTextChar"/>
        </w:rPr>
        <w:t>La mise en œuvre de l’approche ATPC (Assainissement Total Piloté par la Communauté) bien</w:t>
      </w:r>
      <w:r w:rsidRPr="00CB0681">
        <w:rPr>
          <w:rFonts w:ascii="Tw Cen MT" w:hAnsi="Tw Cen MT" w:cs="Tahoma"/>
          <w:sz w:val="24"/>
          <w:szCs w:val="24"/>
          <w:lang w:eastAsia="fr-FR"/>
        </w:rPr>
        <w:t xml:space="preserve"> que n’étant pas consacrée par la Politique nationale, a contribué à l'amélioration du cadre de vie des populations en milieu rural. En effet, dans les zones où elle a été mise en œuvre, cette approche a donné</w:t>
      </w:r>
      <w:r w:rsidRPr="00CB0681">
        <w:rPr>
          <w:rFonts w:ascii="Tw Cen MT" w:hAnsi="Tw Cen MT" w:cs="Tahoma"/>
          <w:bCs/>
          <w:sz w:val="24"/>
          <w:szCs w:val="24"/>
          <w:lang w:eastAsia="fr-FR"/>
        </w:rPr>
        <w:t xml:space="preserve"> aux communautés concernées l’opportunité de prendre des décisions de manière collective en vue de mettre fin à la pratique de la défécation à l’air libre. </w:t>
      </w:r>
    </w:p>
    <w:p w:rsidR="00421B94" w:rsidRPr="00BA1D26" w:rsidRDefault="00421B94" w:rsidP="00421B94">
      <w:pPr>
        <w:pStyle w:val="Paragraphedeliste"/>
        <w:numPr>
          <w:ilvl w:val="0"/>
          <w:numId w:val="24"/>
        </w:numPr>
        <w:spacing w:line="276" w:lineRule="auto"/>
        <w:jc w:val="both"/>
        <w:rPr>
          <w:rFonts w:ascii="Tw Cen MT" w:hAnsi="Tw Cen MT" w:cs="Tahoma"/>
          <w:sz w:val="24"/>
          <w:szCs w:val="24"/>
        </w:rPr>
      </w:pPr>
      <w:r w:rsidRPr="00BA1D26">
        <w:rPr>
          <w:rFonts w:ascii="Tw Cen MT" w:hAnsi="Tw Cen MT" w:cs="Tahoma"/>
          <w:sz w:val="24"/>
          <w:szCs w:val="24"/>
        </w:rPr>
        <w:t>La tenue régulière depuis plusieurs années de la revue des acteurs du secteur a fait de ce cadre de concertation l’un des plus dynamiques qui existent au Mali. Cette plateforme de concertation permet aux diverses parties prenantes d’échanger des informations, de capitaliser les acquis et de surmonter les contraintes en engageant avec le Gouvernement un dialogue politique sur une base constructive ;</w:t>
      </w:r>
    </w:p>
    <w:p w:rsidR="00421B94" w:rsidRPr="00BA1D26" w:rsidRDefault="00421B94" w:rsidP="00421B94">
      <w:pPr>
        <w:pStyle w:val="Paragraphedeliste"/>
        <w:jc w:val="both"/>
        <w:rPr>
          <w:rFonts w:ascii="Tw Cen MT" w:hAnsi="Tw Cen MT" w:cs="Tahoma"/>
          <w:sz w:val="24"/>
          <w:szCs w:val="24"/>
        </w:rPr>
      </w:pPr>
    </w:p>
    <w:p w:rsidR="00535C1F" w:rsidRDefault="00A63600" w:rsidP="00305208">
      <w:pPr>
        <w:pStyle w:val="BodyText"/>
        <w:spacing w:line="360" w:lineRule="auto"/>
        <w:rPr>
          <w:rFonts w:asciiTheme="minorHAnsi" w:hAnsiTheme="minorHAnsi" w:cstheme="minorHAnsi"/>
          <w:sz w:val="24"/>
          <w:szCs w:val="24"/>
        </w:rPr>
      </w:pPr>
      <w:r w:rsidRPr="0022409F">
        <w:rPr>
          <w:rFonts w:asciiTheme="minorHAnsi" w:hAnsiTheme="minorHAnsi" w:cstheme="minorHAnsi"/>
          <w:sz w:val="24"/>
          <w:szCs w:val="24"/>
        </w:rPr>
        <w:t>Au-</w:t>
      </w:r>
      <w:r w:rsidR="006A2122" w:rsidRPr="0022409F">
        <w:rPr>
          <w:rFonts w:asciiTheme="minorHAnsi" w:hAnsiTheme="minorHAnsi" w:cstheme="minorHAnsi"/>
          <w:sz w:val="24"/>
          <w:szCs w:val="24"/>
        </w:rPr>
        <w:t>delà de</w:t>
      </w:r>
      <w:r w:rsidR="00217AAE" w:rsidRPr="0022409F">
        <w:rPr>
          <w:rFonts w:asciiTheme="minorHAnsi" w:hAnsiTheme="minorHAnsi" w:cstheme="minorHAnsi"/>
          <w:sz w:val="24"/>
          <w:szCs w:val="24"/>
        </w:rPr>
        <w:t xml:space="preserve"> ces acquis</w:t>
      </w:r>
      <w:r w:rsidR="00D95021" w:rsidRPr="0022409F">
        <w:rPr>
          <w:rFonts w:asciiTheme="minorHAnsi" w:hAnsiTheme="minorHAnsi" w:cstheme="minorHAnsi"/>
          <w:sz w:val="24"/>
          <w:szCs w:val="24"/>
        </w:rPr>
        <w:t>,</w:t>
      </w:r>
      <w:r w:rsidR="0088575D">
        <w:rPr>
          <w:rFonts w:asciiTheme="minorHAnsi" w:hAnsiTheme="minorHAnsi" w:cstheme="minorHAnsi"/>
          <w:sz w:val="24"/>
          <w:szCs w:val="24"/>
        </w:rPr>
        <w:t xml:space="preserve"> </w:t>
      </w:r>
      <w:r w:rsidR="00217AAE" w:rsidRPr="00305208">
        <w:rPr>
          <w:rFonts w:asciiTheme="minorHAnsi" w:hAnsiTheme="minorHAnsi" w:cstheme="minorHAnsi"/>
          <w:sz w:val="24"/>
          <w:szCs w:val="24"/>
        </w:rPr>
        <w:t xml:space="preserve">bien que </w:t>
      </w:r>
      <w:r w:rsidRPr="00305208">
        <w:rPr>
          <w:rFonts w:asciiTheme="minorHAnsi" w:hAnsiTheme="minorHAnsi" w:cstheme="minorHAnsi"/>
          <w:sz w:val="24"/>
          <w:szCs w:val="24"/>
        </w:rPr>
        <w:t>d</w:t>
      </w:r>
      <w:r w:rsidR="00066450" w:rsidRPr="00305208">
        <w:rPr>
          <w:rFonts w:asciiTheme="minorHAnsi" w:hAnsiTheme="minorHAnsi" w:cstheme="minorHAnsi"/>
          <w:sz w:val="24"/>
          <w:szCs w:val="24"/>
        </w:rPr>
        <w:t>’énormes efforts ont été consentis par la majorité des acteurs du sous-secte</w:t>
      </w:r>
      <w:r w:rsidR="00066450" w:rsidRPr="00112EE9">
        <w:rPr>
          <w:rFonts w:asciiTheme="minorHAnsi" w:hAnsiTheme="minorHAnsi" w:cstheme="minorHAnsi"/>
          <w:sz w:val="24"/>
          <w:szCs w:val="24"/>
        </w:rPr>
        <w:t>ur pour rehausser le niveau de satisfaction des populations en matière d’accès aux ouvrages d’assainissement adéquat</w:t>
      </w:r>
      <w:r w:rsidRPr="00112EE9">
        <w:rPr>
          <w:rFonts w:asciiTheme="minorHAnsi" w:hAnsiTheme="minorHAnsi" w:cstheme="minorHAnsi"/>
          <w:sz w:val="24"/>
          <w:szCs w:val="24"/>
        </w:rPr>
        <w:t xml:space="preserve">, le taux d’accès à un assainissement amélioré n’a pas répondu aux objectifs fixés dans le cadre des OMD. </w:t>
      </w:r>
      <w:r w:rsidR="00535C1F">
        <w:rPr>
          <w:rFonts w:asciiTheme="minorHAnsi" w:hAnsiTheme="minorHAnsi" w:cstheme="minorHAnsi"/>
          <w:sz w:val="24"/>
          <w:szCs w:val="24"/>
        </w:rPr>
        <w:t xml:space="preserve">Par conséquent, les efforts à fournir sont plus importants pour l’atteinte des ODD. </w:t>
      </w:r>
    </w:p>
    <w:p w:rsidR="00D810B4" w:rsidRPr="00A929CE" w:rsidRDefault="00D810B4" w:rsidP="00A929CE">
      <w:pPr>
        <w:pStyle w:val="Titre4"/>
        <w:spacing w:line="360" w:lineRule="auto"/>
        <w:rPr>
          <w:rFonts w:asciiTheme="minorHAnsi" w:hAnsiTheme="minorHAnsi"/>
          <w:sz w:val="24"/>
          <w:szCs w:val="24"/>
        </w:rPr>
      </w:pPr>
      <w:bookmarkStart w:id="10" w:name="_Toc536448568"/>
      <w:r w:rsidRPr="00A929CE">
        <w:rPr>
          <w:rFonts w:asciiTheme="minorHAnsi" w:hAnsiTheme="minorHAnsi"/>
          <w:sz w:val="24"/>
          <w:szCs w:val="24"/>
        </w:rPr>
        <w:t>L’efficience</w:t>
      </w:r>
      <w:bookmarkEnd w:id="10"/>
      <w:r w:rsidRPr="00A929CE">
        <w:rPr>
          <w:rFonts w:asciiTheme="minorHAnsi" w:hAnsiTheme="minorHAnsi"/>
          <w:sz w:val="24"/>
          <w:szCs w:val="24"/>
        </w:rPr>
        <w:t> </w:t>
      </w:r>
    </w:p>
    <w:p w:rsidR="00305208" w:rsidRPr="00A929CE" w:rsidRDefault="00305208" w:rsidP="00A929CE">
      <w:pPr>
        <w:pStyle w:val="Default"/>
        <w:pBdr>
          <w:bottom w:val="single" w:sz="4" w:space="1" w:color="auto"/>
        </w:pBdr>
        <w:spacing w:line="360" w:lineRule="auto"/>
        <w:jc w:val="both"/>
        <w:rPr>
          <w:rFonts w:asciiTheme="minorHAnsi" w:hAnsiTheme="minorHAnsi" w:cs="Arial"/>
          <w:lang w:eastAsia="fr-FR"/>
        </w:rPr>
      </w:pPr>
      <w:r w:rsidRPr="00D54C69">
        <w:rPr>
          <w:rFonts w:asciiTheme="minorHAnsi" w:hAnsiTheme="minorHAnsi" w:cs="Arial"/>
          <w:u w:val="single"/>
          <w:lang w:eastAsia="fr-FR"/>
        </w:rPr>
        <w:t>L’</w:t>
      </w:r>
      <w:r w:rsidRPr="00D54C69">
        <w:rPr>
          <w:rFonts w:asciiTheme="minorHAnsi" w:hAnsiTheme="minorHAnsi" w:cs="Arial"/>
          <w:b/>
          <w:u w:val="single"/>
          <w:lang w:eastAsia="fr-FR"/>
        </w:rPr>
        <w:t>efficience</w:t>
      </w:r>
      <w:r w:rsidRPr="00D54C69">
        <w:rPr>
          <w:rFonts w:asciiTheme="minorHAnsi" w:hAnsiTheme="minorHAnsi" w:cs="Arial"/>
          <w:u w:val="single"/>
          <w:lang w:eastAsia="fr-FR"/>
        </w:rPr>
        <w:t xml:space="preserve"> d</w:t>
      </w:r>
      <w:r w:rsidR="00650BD7" w:rsidRPr="00D54C69">
        <w:rPr>
          <w:rFonts w:asciiTheme="minorHAnsi" w:hAnsiTheme="minorHAnsi"/>
          <w:u w:val="single"/>
          <w:lang w:eastAsia="fr-FR"/>
        </w:rPr>
        <w:t xml:space="preserve">ans </w:t>
      </w:r>
      <w:r w:rsidRPr="00D54C69">
        <w:rPr>
          <w:rFonts w:asciiTheme="minorHAnsi" w:hAnsiTheme="minorHAnsi" w:cs="Arial"/>
          <w:u w:val="single"/>
          <w:lang w:eastAsia="fr-FR"/>
        </w:rPr>
        <w:t>la gestion d</w:t>
      </w:r>
      <w:r w:rsidRPr="00D54C69">
        <w:rPr>
          <w:rFonts w:asciiTheme="minorHAnsi" w:hAnsiTheme="minorHAnsi"/>
          <w:u w:val="single"/>
          <w:lang w:eastAsia="fr-FR"/>
        </w:rPr>
        <w:t xml:space="preserve">e la mise en œuvre de la PNA </w:t>
      </w:r>
      <w:r w:rsidR="00112EE9" w:rsidRPr="00D54C69">
        <w:rPr>
          <w:rFonts w:asciiTheme="minorHAnsi" w:hAnsiTheme="minorHAnsi"/>
          <w:u w:val="single"/>
          <w:lang w:eastAsia="fr-FR"/>
        </w:rPr>
        <w:t>reste un exercice difficile, car plusieurs projets et programmes concourent de fait à sa mise en œuvre</w:t>
      </w:r>
      <w:r w:rsidR="00112EE9" w:rsidRPr="00A929CE">
        <w:rPr>
          <w:rFonts w:asciiTheme="minorHAnsi" w:hAnsiTheme="minorHAnsi"/>
          <w:lang w:eastAsia="fr-FR"/>
        </w:rPr>
        <w:t xml:space="preserve">. </w:t>
      </w:r>
      <w:r w:rsidR="00650BD7" w:rsidRPr="00A929CE">
        <w:rPr>
          <w:rFonts w:asciiTheme="minorHAnsi" w:hAnsiTheme="minorHAnsi"/>
          <w:lang w:eastAsia="fr-FR"/>
        </w:rPr>
        <w:t>Les données financières nécessaires à l’</w:t>
      </w:r>
      <w:r w:rsidR="00112EE9" w:rsidRPr="00112EE9">
        <w:rPr>
          <w:rFonts w:asciiTheme="minorHAnsi" w:hAnsiTheme="minorHAnsi"/>
          <w:lang w:eastAsia="fr-FR"/>
        </w:rPr>
        <w:t xml:space="preserve">analyse </w:t>
      </w:r>
      <w:r w:rsidR="00650BD7" w:rsidRPr="00A929CE">
        <w:rPr>
          <w:rFonts w:asciiTheme="minorHAnsi" w:hAnsiTheme="minorHAnsi"/>
          <w:lang w:eastAsia="fr-FR"/>
        </w:rPr>
        <w:t xml:space="preserve">ne sont </w:t>
      </w:r>
      <w:r w:rsidR="00112EE9" w:rsidRPr="00A929CE">
        <w:rPr>
          <w:rFonts w:asciiTheme="minorHAnsi" w:hAnsiTheme="minorHAnsi"/>
          <w:lang w:eastAsia="fr-FR"/>
        </w:rPr>
        <w:t xml:space="preserve">pas </w:t>
      </w:r>
      <w:r w:rsidR="00650BD7" w:rsidRPr="00A929CE">
        <w:rPr>
          <w:rFonts w:asciiTheme="minorHAnsi" w:hAnsiTheme="minorHAnsi"/>
          <w:lang w:eastAsia="fr-FR"/>
        </w:rPr>
        <w:t xml:space="preserve">toujours disponibles. </w:t>
      </w:r>
      <w:r w:rsidR="00535C1F">
        <w:rPr>
          <w:rFonts w:asciiTheme="minorHAnsi" w:hAnsiTheme="minorHAnsi"/>
          <w:lang w:eastAsia="fr-FR"/>
        </w:rPr>
        <w:t>Le rapport Trackfin constate</w:t>
      </w:r>
      <w:r w:rsidR="00112EE9" w:rsidRPr="00A929CE">
        <w:rPr>
          <w:rFonts w:asciiTheme="minorHAnsi" w:hAnsiTheme="minorHAnsi"/>
        </w:rPr>
        <w:t xml:space="preserve"> que le total des dépenses du secteur eau et assainissement passe de 45 milliards de F CFA en 2012 à 82 milliards de F CFA en 2014</w:t>
      </w:r>
      <w:r w:rsidR="00112EE9">
        <w:rPr>
          <w:rFonts w:asciiTheme="minorHAnsi" w:hAnsiTheme="minorHAnsi"/>
        </w:rPr>
        <w:t xml:space="preserve">. </w:t>
      </w:r>
      <w:r w:rsidR="00535C1F">
        <w:rPr>
          <w:rFonts w:asciiTheme="minorHAnsi" w:hAnsiTheme="minorHAnsi"/>
        </w:rPr>
        <w:t>Selon le même rapport, l</w:t>
      </w:r>
      <w:r w:rsidR="00112EE9">
        <w:rPr>
          <w:rFonts w:asciiTheme="minorHAnsi" w:hAnsiTheme="minorHAnsi"/>
        </w:rPr>
        <w:t xml:space="preserve">es </w:t>
      </w:r>
      <w:r w:rsidR="00112EE9" w:rsidRPr="00A929CE">
        <w:rPr>
          <w:rFonts w:asciiTheme="minorHAnsi" w:hAnsiTheme="minorHAnsi"/>
        </w:rPr>
        <w:t>dépenses annuelles par habitant sont passées de 2.781 F CFA (5,45 US$) en 2012 à 4.735 F CFA (9,56 US$) en 2014, ce qui montre également une progression importante (70%), mais moindre par rapport aux dépenses totales du fait de la croissance démographique. Enfin, la part des dépenses dans le secteur par rapport au PIB demeure en dessous de 2%, allant de 0,86% en 2012 à 1,73% en 2014</w:t>
      </w:r>
      <w:r w:rsidR="00535C1F">
        <w:rPr>
          <w:rFonts w:asciiTheme="minorHAnsi" w:hAnsiTheme="minorHAnsi"/>
        </w:rPr>
        <w:t xml:space="preserve">. </w:t>
      </w:r>
      <w:r w:rsidR="00112EE9">
        <w:rPr>
          <w:rFonts w:asciiTheme="minorHAnsi" w:hAnsiTheme="minorHAnsi"/>
        </w:rPr>
        <w:t>L</w:t>
      </w:r>
      <w:r w:rsidR="00112EE9" w:rsidRPr="00A929CE">
        <w:rPr>
          <w:rFonts w:asciiTheme="minorHAnsi" w:hAnsiTheme="minorHAnsi"/>
        </w:rPr>
        <w:t xml:space="preserve">a répartition des dépenses par sous-secteur, montre qu’une très large proportion des dépenses est destinée au sous-secteur de l’eau (environ 81% en 2014) par rapport à l’assainissement des déchets liquides (7% en 2014) et à l’assainissement des déchets solides (moins de 2% en 2014). </w:t>
      </w:r>
    </w:p>
    <w:p w:rsidR="00305208" w:rsidRPr="00112EE9" w:rsidRDefault="00305208" w:rsidP="00A929CE">
      <w:pPr>
        <w:pStyle w:val="BodyText"/>
        <w:pBdr>
          <w:bottom w:val="single" w:sz="4" w:space="1" w:color="auto"/>
        </w:pBdr>
        <w:spacing w:line="360" w:lineRule="auto"/>
        <w:rPr>
          <w:rFonts w:asciiTheme="minorHAnsi" w:hAnsiTheme="minorHAnsi"/>
          <w:sz w:val="24"/>
          <w:szCs w:val="24"/>
        </w:rPr>
      </w:pPr>
    </w:p>
    <w:p w:rsidR="00D810B4" w:rsidRPr="00A929CE" w:rsidRDefault="00D810B4" w:rsidP="00A929CE">
      <w:pPr>
        <w:pStyle w:val="Titre4"/>
        <w:spacing w:line="360" w:lineRule="auto"/>
        <w:rPr>
          <w:rFonts w:asciiTheme="minorHAnsi" w:hAnsiTheme="minorHAnsi"/>
          <w:sz w:val="24"/>
          <w:szCs w:val="24"/>
        </w:rPr>
      </w:pPr>
      <w:bookmarkStart w:id="11" w:name="_Toc536448569"/>
      <w:r w:rsidRPr="00A929CE">
        <w:rPr>
          <w:rFonts w:asciiTheme="minorHAnsi" w:hAnsiTheme="minorHAnsi"/>
          <w:sz w:val="24"/>
          <w:szCs w:val="24"/>
        </w:rPr>
        <w:t>Les effets et impacts</w:t>
      </w:r>
      <w:bookmarkEnd w:id="11"/>
      <w:r w:rsidRPr="00A929CE">
        <w:rPr>
          <w:rFonts w:asciiTheme="minorHAnsi" w:hAnsiTheme="minorHAnsi"/>
          <w:sz w:val="24"/>
          <w:szCs w:val="24"/>
        </w:rPr>
        <w:t> </w:t>
      </w:r>
    </w:p>
    <w:p w:rsidR="00FF33DC" w:rsidRPr="00DF47E6" w:rsidRDefault="00DD05F8" w:rsidP="00B8772C">
      <w:pPr>
        <w:pStyle w:val="BodyText"/>
        <w:spacing w:line="360" w:lineRule="auto"/>
        <w:rPr>
          <w:rFonts w:asciiTheme="minorHAnsi" w:hAnsiTheme="minorHAnsi" w:cstheme="minorHAnsi"/>
          <w:sz w:val="24"/>
          <w:szCs w:val="24"/>
        </w:rPr>
      </w:pPr>
      <w:r w:rsidRPr="00DF47E6">
        <w:rPr>
          <w:rFonts w:asciiTheme="minorHAnsi" w:hAnsiTheme="minorHAnsi" w:cstheme="minorHAnsi"/>
          <w:sz w:val="24"/>
          <w:szCs w:val="24"/>
        </w:rPr>
        <w:t xml:space="preserve">Faute d’une situation de référence établie, il est difficile d’évaluer les effets et impacts engendrés par la mise en œuvre de la PNA et de ses stratégies sous-sectorielles. </w:t>
      </w:r>
      <w:r w:rsidR="00535C1F">
        <w:rPr>
          <w:rFonts w:asciiTheme="minorHAnsi" w:hAnsiTheme="minorHAnsi" w:cstheme="minorHAnsi"/>
          <w:sz w:val="24"/>
          <w:szCs w:val="24"/>
        </w:rPr>
        <w:t>D</w:t>
      </w:r>
      <w:r w:rsidR="00FF33DC" w:rsidRPr="00DF47E6">
        <w:rPr>
          <w:rFonts w:asciiTheme="minorHAnsi" w:hAnsiTheme="minorHAnsi" w:cstheme="minorHAnsi"/>
          <w:sz w:val="24"/>
          <w:szCs w:val="24"/>
        </w:rPr>
        <w:t xml:space="preserve">es statistiques fiables couplées avec une situation de référence en matière d’assainissement au niveau nationale, auraient permis une juste appréciation des effets et impacts induits. </w:t>
      </w:r>
      <w:r w:rsidR="00E811C6" w:rsidRPr="00DF47E6">
        <w:rPr>
          <w:rFonts w:asciiTheme="minorHAnsi" w:hAnsiTheme="minorHAnsi" w:cstheme="minorHAnsi"/>
          <w:color w:val="000000" w:themeColor="text1"/>
          <w:sz w:val="24"/>
          <w:szCs w:val="24"/>
        </w:rPr>
        <w:t xml:space="preserve">Ce handicap </w:t>
      </w:r>
      <w:r w:rsidR="00E811C6" w:rsidRPr="00DF47E6">
        <w:rPr>
          <w:rFonts w:asciiTheme="minorHAnsi" w:hAnsiTheme="minorHAnsi" w:cstheme="minorHAnsi"/>
          <w:bCs/>
          <w:sz w:val="24"/>
          <w:szCs w:val="24"/>
          <w:lang w:eastAsia="en-GB"/>
        </w:rPr>
        <w:t xml:space="preserve">a pesé négativement sur la concrétisation de la vision commune de l’assainissement telle qu’elle est définie par la PNA. </w:t>
      </w:r>
    </w:p>
    <w:p w:rsidR="00D810B4" w:rsidRPr="00DF47E6" w:rsidRDefault="00D810B4" w:rsidP="00A929CE">
      <w:pPr>
        <w:pStyle w:val="Titre4"/>
        <w:spacing w:line="360" w:lineRule="auto"/>
        <w:rPr>
          <w:rFonts w:asciiTheme="minorHAnsi" w:hAnsiTheme="minorHAnsi"/>
          <w:sz w:val="24"/>
          <w:szCs w:val="24"/>
        </w:rPr>
      </w:pPr>
      <w:bookmarkStart w:id="12" w:name="_Toc536448570"/>
      <w:r w:rsidRPr="00DF47E6">
        <w:rPr>
          <w:rFonts w:asciiTheme="minorHAnsi" w:hAnsiTheme="minorHAnsi"/>
          <w:sz w:val="24"/>
          <w:szCs w:val="24"/>
        </w:rPr>
        <w:t>La durabilité/viabilité</w:t>
      </w:r>
      <w:bookmarkEnd w:id="12"/>
      <w:r w:rsidRPr="00DF47E6">
        <w:rPr>
          <w:rFonts w:asciiTheme="minorHAnsi" w:hAnsiTheme="minorHAnsi"/>
          <w:sz w:val="24"/>
          <w:szCs w:val="24"/>
        </w:rPr>
        <w:t> </w:t>
      </w:r>
    </w:p>
    <w:p w:rsidR="00FF33DC" w:rsidRDefault="00D47BCF" w:rsidP="00A929CE">
      <w:pPr>
        <w:pStyle w:val="BodyText"/>
        <w:spacing w:line="360" w:lineRule="auto"/>
        <w:rPr>
          <w:rFonts w:asciiTheme="minorHAnsi" w:hAnsiTheme="minorHAnsi"/>
          <w:sz w:val="24"/>
          <w:szCs w:val="24"/>
        </w:rPr>
      </w:pPr>
      <w:r w:rsidRPr="00DF47E6">
        <w:rPr>
          <w:rFonts w:asciiTheme="minorHAnsi" w:hAnsiTheme="minorHAnsi"/>
          <w:sz w:val="24"/>
          <w:szCs w:val="24"/>
        </w:rPr>
        <w:t xml:space="preserve">L’appréciation physique des ouvrages </w:t>
      </w:r>
      <w:r w:rsidR="00E3170E" w:rsidRPr="00DF47E6">
        <w:rPr>
          <w:rFonts w:asciiTheme="minorHAnsi" w:hAnsiTheme="minorHAnsi"/>
          <w:sz w:val="24"/>
          <w:szCs w:val="24"/>
        </w:rPr>
        <w:t>devrait</w:t>
      </w:r>
      <w:r w:rsidRPr="00DF47E6">
        <w:rPr>
          <w:rFonts w:asciiTheme="minorHAnsi" w:hAnsiTheme="minorHAnsi"/>
          <w:sz w:val="24"/>
          <w:szCs w:val="24"/>
        </w:rPr>
        <w:t xml:space="preserve"> permettre de statuer sur l’aspect de durabilité/viabilité. S’agissant d’une politique traduisant une vision globale et nationale, </w:t>
      </w:r>
      <w:r w:rsidR="00D248B8" w:rsidRPr="00DF47E6">
        <w:rPr>
          <w:rFonts w:asciiTheme="minorHAnsi" w:hAnsiTheme="minorHAnsi"/>
          <w:sz w:val="24"/>
          <w:szCs w:val="24"/>
        </w:rPr>
        <w:t xml:space="preserve">il n’est </w:t>
      </w:r>
      <w:r w:rsidR="00535C1F">
        <w:rPr>
          <w:rFonts w:asciiTheme="minorHAnsi" w:hAnsiTheme="minorHAnsi"/>
          <w:sz w:val="24"/>
          <w:szCs w:val="24"/>
        </w:rPr>
        <w:t xml:space="preserve">pas </w:t>
      </w:r>
      <w:r w:rsidR="00D248B8" w:rsidRPr="00DF47E6">
        <w:rPr>
          <w:rFonts w:asciiTheme="minorHAnsi" w:hAnsiTheme="minorHAnsi"/>
          <w:sz w:val="24"/>
          <w:szCs w:val="24"/>
        </w:rPr>
        <w:t xml:space="preserve">aisé d’avoir une opinion sur </w:t>
      </w:r>
      <w:r w:rsidR="00AD6896" w:rsidRPr="00DF47E6">
        <w:rPr>
          <w:rFonts w:asciiTheme="minorHAnsi" w:hAnsiTheme="minorHAnsi"/>
          <w:sz w:val="24"/>
          <w:szCs w:val="24"/>
        </w:rPr>
        <w:t xml:space="preserve">cet </w:t>
      </w:r>
      <w:r w:rsidR="00D248B8" w:rsidRPr="00DF47E6">
        <w:rPr>
          <w:rFonts w:asciiTheme="minorHAnsi" w:hAnsiTheme="minorHAnsi"/>
          <w:sz w:val="24"/>
          <w:szCs w:val="24"/>
        </w:rPr>
        <w:t>aspect concern</w:t>
      </w:r>
      <w:r w:rsidR="00AD6896" w:rsidRPr="00DF47E6">
        <w:rPr>
          <w:rFonts w:asciiTheme="minorHAnsi" w:hAnsiTheme="minorHAnsi"/>
          <w:sz w:val="24"/>
          <w:szCs w:val="24"/>
        </w:rPr>
        <w:t>é (qui est un critère important d’évaluation) sans avoir établie cette appréciation physique</w:t>
      </w:r>
      <w:r w:rsidR="00D248B8" w:rsidRPr="00DF47E6">
        <w:rPr>
          <w:rFonts w:asciiTheme="minorHAnsi" w:hAnsiTheme="minorHAnsi"/>
          <w:sz w:val="24"/>
          <w:szCs w:val="24"/>
        </w:rPr>
        <w:t xml:space="preserve">. </w:t>
      </w:r>
    </w:p>
    <w:p w:rsidR="00202222" w:rsidRPr="00112EE9" w:rsidRDefault="00202222" w:rsidP="00A929CE">
      <w:pPr>
        <w:pStyle w:val="BodyText"/>
        <w:spacing w:line="360" w:lineRule="auto"/>
        <w:rPr>
          <w:rFonts w:asciiTheme="minorHAnsi" w:hAnsiTheme="minorHAnsi"/>
          <w:sz w:val="24"/>
          <w:szCs w:val="24"/>
        </w:rPr>
      </w:pPr>
      <w:r>
        <w:rPr>
          <w:rFonts w:asciiTheme="minorHAnsi" w:hAnsiTheme="minorHAnsi"/>
          <w:sz w:val="24"/>
          <w:szCs w:val="24"/>
        </w:rPr>
        <w:t xml:space="preserve">L’assainissement étant une préoccupation essentiellement locale qui renvoie à des comportements individuels et collectifs, la durabilité des actions mises en œuvre dans ce domaine reste conditionnée en grande partie par l’appropriation des actions par les populations et les collectivités territoriales. </w:t>
      </w:r>
    </w:p>
    <w:p w:rsidR="00BA0AF1" w:rsidRPr="00A929CE" w:rsidRDefault="00BA0AF1" w:rsidP="00A929CE">
      <w:pPr>
        <w:pStyle w:val="Titre2"/>
        <w:spacing w:line="360" w:lineRule="auto"/>
        <w:rPr>
          <w:rFonts w:asciiTheme="minorHAnsi" w:eastAsia="Calibri" w:hAnsiTheme="minorHAnsi"/>
          <w:szCs w:val="24"/>
        </w:rPr>
      </w:pPr>
      <w:bookmarkStart w:id="13" w:name="_Toc536448571"/>
      <w:r w:rsidRPr="00A929CE">
        <w:rPr>
          <w:rFonts w:asciiTheme="minorHAnsi" w:eastAsia="Calibri" w:hAnsiTheme="minorHAnsi"/>
          <w:szCs w:val="24"/>
        </w:rPr>
        <w:t>Diagnostic du sous-secteur de l’assainissement</w:t>
      </w:r>
      <w:bookmarkEnd w:id="13"/>
    </w:p>
    <w:p w:rsidR="00621D47" w:rsidRPr="00A929CE" w:rsidRDefault="00621D47" w:rsidP="00A929CE">
      <w:pPr>
        <w:pStyle w:val="Titre3"/>
        <w:spacing w:line="360" w:lineRule="auto"/>
        <w:rPr>
          <w:rFonts w:asciiTheme="minorHAnsi" w:hAnsiTheme="minorHAnsi"/>
          <w:sz w:val="24"/>
          <w:szCs w:val="24"/>
        </w:rPr>
      </w:pPr>
      <w:bookmarkStart w:id="14" w:name="_Toc536448572"/>
      <w:r w:rsidRPr="00A929CE">
        <w:rPr>
          <w:rFonts w:asciiTheme="minorHAnsi" w:hAnsiTheme="minorHAnsi"/>
          <w:sz w:val="24"/>
          <w:szCs w:val="24"/>
        </w:rPr>
        <w:t>La gestion des déchets solides</w:t>
      </w:r>
      <w:bookmarkEnd w:id="14"/>
    </w:p>
    <w:p w:rsidR="00841AC8" w:rsidRPr="00A929CE" w:rsidRDefault="00841AC8" w:rsidP="00A929CE">
      <w:pPr>
        <w:pStyle w:val="BodyText"/>
        <w:spacing w:line="360" w:lineRule="auto"/>
        <w:rPr>
          <w:rFonts w:asciiTheme="minorHAnsi" w:hAnsiTheme="minorHAnsi"/>
          <w:sz w:val="24"/>
          <w:szCs w:val="24"/>
        </w:rPr>
      </w:pPr>
      <w:r w:rsidRPr="00A929CE">
        <w:rPr>
          <w:rFonts w:asciiTheme="minorHAnsi" w:hAnsiTheme="minorHAnsi"/>
          <w:sz w:val="24"/>
          <w:szCs w:val="24"/>
        </w:rPr>
        <w:t xml:space="preserve">La gestion des déchets solides au Mali est caractérisée par une insuffisance criarde d’infrastructures comme les dépôts de transit et de décharges finales équipés et sécurisés. Les populations n’ont pas une culture d’abonnement à un GIE pour le ramassage de leurs ordures ménagères. L’incivisme les poussent à soit inonder les ouvrages de drainage des eaux de pluie de déchets et transformer tout espace libre en dépôts anarchiques. La filière ne connaît qu’une organisation très partielle, n’offrant pas une garantie d’une gestion sécurisée des déchets solides. </w:t>
      </w:r>
    </w:p>
    <w:p w:rsidR="00E85187" w:rsidRPr="00A929CE" w:rsidRDefault="00E85187" w:rsidP="00A929CE">
      <w:pPr>
        <w:pStyle w:val="Titre3"/>
        <w:spacing w:line="360" w:lineRule="auto"/>
        <w:rPr>
          <w:rFonts w:asciiTheme="minorHAnsi" w:hAnsiTheme="minorHAnsi"/>
          <w:sz w:val="24"/>
          <w:szCs w:val="24"/>
        </w:rPr>
      </w:pPr>
      <w:bookmarkStart w:id="15" w:name="_Toc536448573"/>
      <w:r w:rsidRPr="00A929CE">
        <w:rPr>
          <w:rFonts w:asciiTheme="minorHAnsi" w:hAnsiTheme="minorHAnsi"/>
          <w:sz w:val="24"/>
          <w:szCs w:val="24"/>
        </w:rPr>
        <w:t>Gestion des déchets liquides</w:t>
      </w:r>
      <w:bookmarkEnd w:id="15"/>
    </w:p>
    <w:p w:rsidR="00112EE9" w:rsidRPr="00D54C69" w:rsidRDefault="00112EE9" w:rsidP="00112EE9">
      <w:pPr>
        <w:pStyle w:val="BodyText"/>
        <w:spacing w:line="360" w:lineRule="auto"/>
        <w:rPr>
          <w:rFonts w:ascii="Tw Cen MT" w:hAnsi="Tw Cen MT" w:cstheme="minorHAnsi"/>
          <w:sz w:val="24"/>
          <w:szCs w:val="24"/>
        </w:rPr>
      </w:pPr>
      <w:r w:rsidRPr="00D54C69">
        <w:rPr>
          <w:rFonts w:ascii="Tw Cen MT" w:hAnsi="Tw Cen MT"/>
          <w:sz w:val="24"/>
          <w:szCs w:val="24"/>
        </w:rPr>
        <w:t>L’élaboration de la Stratégie Nationale de gestion de déchets liquides du Mali, suite aux recommandations du Forum National de l’Assainissement tenu en avril 2006 a constitué une avancée certaine dans la maitrise de la gestion des déchets liquides. Le document donne dans sa première partie un état des lieux de la gestion des déchets liquides et la seconde partie donne les orientations stratégiques.</w:t>
      </w:r>
    </w:p>
    <w:p w:rsidR="00112EE9" w:rsidRPr="00A929CE" w:rsidRDefault="00112EE9" w:rsidP="00A929CE">
      <w:pPr>
        <w:pStyle w:val="Default"/>
        <w:spacing w:line="360" w:lineRule="auto"/>
        <w:jc w:val="both"/>
        <w:rPr>
          <w:rFonts w:asciiTheme="minorHAnsi" w:hAnsiTheme="minorHAnsi"/>
        </w:rPr>
      </w:pPr>
      <w:r w:rsidRPr="00A929CE">
        <w:rPr>
          <w:rFonts w:asciiTheme="minorHAnsi" w:hAnsiTheme="minorHAnsi"/>
        </w:rPr>
        <w:t xml:space="preserve">D’après le Joint Monitoring Programme 2017, le taux d’accès à un assainissement amélioré se situait en 2015 à </w:t>
      </w:r>
      <w:r w:rsidR="00D863B8" w:rsidRPr="00A929CE">
        <w:rPr>
          <w:rFonts w:asciiTheme="minorHAnsi" w:hAnsiTheme="minorHAnsi"/>
        </w:rPr>
        <w:t>31</w:t>
      </w:r>
      <w:r w:rsidRPr="00A929CE">
        <w:rPr>
          <w:rFonts w:asciiTheme="minorHAnsi" w:hAnsiTheme="minorHAnsi"/>
        </w:rPr>
        <w:t xml:space="preserve">% au niveau national, à </w:t>
      </w:r>
      <w:r w:rsidR="00D863B8" w:rsidRPr="00A929CE">
        <w:rPr>
          <w:rFonts w:asciiTheme="minorHAnsi" w:hAnsiTheme="minorHAnsi"/>
        </w:rPr>
        <w:t>46</w:t>
      </w:r>
      <w:r w:rsidRPr="00A929CE">
        <w:rPr>
          <w:rFonts w:asciiTheme="minorHAnsi" w:hAnsiTheme="minorHAnsi"/>
        </w:rPr>
        <w:t xml:space="preserve">% en milieu urbain et </w:t>
      </w:r>
      <w:r w:rsidR="00D863B8" w:rsidRPr="00A929CE">
        <w:rPr>
          <w:rFonts w:asciiTheme="minorHAnsi" w:hAnsiTheme="minorHAnsi"/>
        </w:rPr>
        <w:t>22</w:t>
      </w:r>
      <w:r w:rsidRPr="00A929CE">
        <w:rPr>
          <w:rFonts w:asciiTheme="minorHAnsi" w:hAnsiTheme="minorHAnsi"/>
        </w:rPr>
        <w:t xml:space="preserve">% en milieu rural. </w:t>
      </w:r>
    </w:p>
    <w:p w:rsidR="00112EE9" w:rsidRPr="00A929CE" w:rsidRDefault="00112EE9" w:rsidP="00A929CE">
      <w:pPr>
        <w:pStyle w:val="Default"/>
        <w:spacing w:line="360" w:lineRule="auto"/>
        <w:jc w:val="both"/>
        <w:rPr>
          <w:rFonts w:asciiTheme="minorHAnsi" w:hAnsiTheme="minorHAnsi"/>
        </w:rPr>
      </w:pPr>
      <w:r w:rsidRPr="00A929CE">
        <w:rPr>
          <w:rFonts w:asciiTheme="minorHAnsi" w:hAnsiTheme="minorHAnsi"/>
        </w:rPr>
        <w:t xml:space="preserve">S’agissant de la construction des ouvrages, la concertation de 2015 a constaté une nette amélioration par rapport à l’année 2014. Cependant, les réalisations demeurent modestes comparativement à la planification selon les besoins. En effet, il a été réalisé 15 259 latrines familiales subventionnées (sur 10 871 latrines planifiées), 572 blocs de latrines publiques (sur 973 planifiées) et 4389 lavoirs-puisards (sur 7725 planifiés). </w:t>
      </w:r>
    </w:p>
    <w:p w:rsidR="00813A87" w:rsidRPr="00B755CA" w:rsidRDefault="00112EE9" w:rsidP="00B8772C">
      <w:pPr>
        <w:pStyle w:val="BodyText"/>
        <w:spacing w:line="360" w:lineRule="auto"/>
        <w:rPr>
          <w:rFonts w:asciiTheme="minorHAnsi" w:hAnsiTheme="minorHAnsi" w:cstheme="minorHAnsi"/>
          <w:sz w:val="24"/>
          <w:szCs w:val="24"/>
        </w:rPr>
      </w:pPr>
      <w:r w:rsidRPr="00D54C69">
        <w:rPr>
          <w:rFonts w:asciiTheme="minorHAnsi" w:hAnsiTheme="minorHAnsi"/>
          <w:sz w:val="24"/>
          <w:szCs w:val="24"/>
        </w:rPr>
        <w:t>Entre 2012 et 201</w:t>
      </w:r>
      <w:r w:rsidR="00D863B8" w:rsidRPr="00D54C69">
        <w:rPr>
          <w:rFonts w:asciiTheme="minorHAnsi" w:hAnsiTheme="minorHAnsi"/>
          <w:sz w:val="24"/>
          <w:szCs w:val="24"/>
        </w:rPr>
        <w:t>7</w:t>
      </w:r>
      <w:r w:rsidRPr="00D54C69">
        <w:rPr>
          <w:rFonts w:asciiTheme="minorHAnsi" w:hAnsiTheme="minorHAnsi"/>
          <w:sz w:val="24"/>
          <w:szCs w:val="24"/>
        </w:rPr>
        <w:t>, un certain nombre de stations d’épurations ont été construites pour le traitement des eaux usées de teinturerie (station de Sotuba), des hôpitaux (station du Point G). De même, il y a eu la réhabilitation des stations de Mopti et de Tombouctou</w:t>
      </w:r>
      <w:r w:rsidR="00D863B8" w:rsidRPr="00D54C69">
        <w:rPr>
          <w:rFonts w:asciiTheme="minorHAnsi" w:hAnsiTheme="minorHAnsi"/>
          <w:sz w:val="24"/>
          <w:szCs w:val="24"/>
        </w:rPr>
        <w:t xml:space="preserve"> et la construction de la station de l’aéroport international de SENOU, de la Cité Administrative de Bamako et de la ville de Sikasso. </w:t>
      </w:r>
      <w:r w:rsidR="00B755CA">
        <w:rPr>
          <w:rFonts w:asciiTheme="minorHAnsi" w:hAnsiTheme="minorHAnsi"/>
          <w:sz w:val="24"/>
          <w:szCs w:val="24"/>
        </w:rPr>
        <w:t>Malgré ces avancées, a</w:t>
      </w:r>
      <w:r w:rsidR="00813A87" w:rsidRPr="00B755CA">
        <w:rPr>
          <w:rFonts w:asciiTheme="minorHAnsi" w:hAnsiTheme="minorHAnsi" w:cstheme="minorHAnsi"/>
          <w:sz w:val="24"/>
          <w:szCs w:val="24"/>
        </w:rPr>
        <w:t xml:space="preserve">u Mali, la question de la gestion des eaux usées et excrétas demeure une préoccupation </w:t>
      </w:r>
      <w:r w:rsidR="00B755CA">
        <w:rPr>
          <w:rFonts w:asciiTheme="minorHAnsi" w:hAnsiTheme="minorHAnsi" w:cstheme="minorHAnsi"/>
          <w:sz w:val="24"/>
          <w:szCs w:val="24"/>
        </w:rPr>
        <w:t>importante</w:t>
      </w:r>
      <w:r w:rsidR="00813A87" w:rsidRPr="00B755CA">
        <w:rPr>
          <w:rFonts w:asciiTheme="minorHAnsi" w:hAnsiTheme="minorHAnsi" w:cstheme="minorHAnsi"/>
          <w:sz w:val="24"/>
          <w:szCs w:val="24"/>
        </w:rPr>
        <w:t xml:space="preserve">. </w:t>
      </w:r>
    </w:p>
    <w:p w:rsidR="00E85187" w:rsidRPr="00D863B8" w:rsidRDefault="00E85187" w:rsidP="00D863B8">
      <w:pPr>
        <w:pStyle w:val="Titre3"/>
      </w:pPr>
      <w:bookmarkStart w:id="16" w:name="_Toc536448574"/>
      <w:r w:rsidRPr="00D863B8">
        <w:t>Gestion des eaux pluviales</w:t>
      </w:r>
      <w:bookmarkEnd w:id="16"/>
    </w:p>
    <w:p w:rsidR="00B755CA" w:rsidRDefault="00D863B8" w:rsidP="00DC2972">
      <w:pPr>
        <w:spacing w:before="120" w:line="360" w:lineRule="auto"/>
        <w:jc w:val="both"/>
        <w:rPr>
          <w:rFonts w:asciiTheme="minorHAnsi" w:hAnsiTheme="minorHAnsi"/>
          <w:sz w:val="24"/>
          <w:szCs w:val="24"/>
        </w:rPr>
      </w:pPr>
      <w:r w:rsidRPr="00DC2972">
        <w:rPr>
          <w:rFonts w:asciiTheme="minorHAnsi" w:hAnsiTheme="minorHAnsi"/>
          <w:sz w:val="24"/>
          <w:szCs w:val="24"/>
        </w:rPr>
        <w:t xml:space="preserve">Les caniveaux conçus pour le drainage des eaux de pluies, sont utilisés comme un système d’évacuation des toutes sortes de déchets, eaux grises, ordures ménagères, etc. Aujourd’hui, la vraie fonction des caniveaux est déviée rendant </w:t>
      </w:r>
      <w:r w:rsidR="00B755CA">
        <w:rPr>
          <w:rFonts w:asciiTheme="minorHAnsi" w:hAnsiTheme="minorHAnsi"/>
          <w:sz w:val="24"/>
          <w:szCs w:val="24"/>
        </w:rPr>
        <w:t xml:space="preserve">par voie de conséquence </w:t>
      </w:r>
      <w:r w:rsidRPr="00DC2972">
        <w:rPr>
          <w:rFonts w:asciiTheme="minorHAnsi" w:hAnsiTheme="minorHAnsi"/>
          <w:sz w:val="24"/>
          <w:szCs w:val="24"/>
        </w:rPr>
        <w:t xml:space="preserve"> le curage difficile, voire, impossible. Les eaux pluviales</w:t>
      </w:r>
      <w:r w:rsidR="00B755CA">
        <w:rPr>
          <w:rFonts w:asciiTheme="minorHAnsi" w:hAnsiTheme="minorHAnsi"/>
          <w:sz w:val="24"/>
          <w:szCs w:val="24"/>
        </w:rPr>
        <w:t xml:space="preserve"> n’étant pas évacuées, </w:t>
      </w:r>
      <w:r w:rsidRPr="00DC2972">
        <w:rPr>
          <w:rFonts w:asciiTheme="minorHAnsi" w:hAnsiTheme="minorHAnsi"/>
          <w:sz w:val="24"/>
          <w:szCs w:val="24"/>
        </w:rPr>
        <w:t xml:space="preserve"> les rues sont inondées Entre 2009 et 2017, </w:t>
      </w:r>
      <w:r w:rsidR="00B755CA">
        <w:rPr>
          <w:rFonts w:asciiTheme="minorHAnsi" w:hAnsiTheme="minorHAnsi"/>
          <w:sz w:val="24"/>
          <w:szCs w:val="24"/>
        </w:rPr>
        <w:t xml:space="preserve">on dénombre : </w:t>
      </w:r>
    </w:p>
    <w:p w:rsidR="00B755CA" w:rsidRDefault="00D863B8" w:rsidP="00D54C69">
      <w:pPr>
        <w:pStyle w:val="Paragraphedeliste"/>
        <w:numPr>
          <w:ilvl w:val="0"/>
          <w:numId w:val="75"/>
        </w:numPr>
        <w:spacing w:before="120" w:line="360" w:lineRule="auto"/>
        <w:jc w:val="both"/>
        <w:rPr>
          <w:rFonts w:asciiTheme="minorHAnsi" w:hAnsiTheme="minorHAnsi"/>
          <w:i/>
          <w:sz w:val="24"/>
          <w:szCs w:val="24"/>
        </w:rPr>
      </w:pPr>
      <w:r w:rsidRPr="00D54C69">
        <w:rPr>
          <w:rFonts w:asciiTheme="minorHAnsi" w:hAnsiTheme="minorHAnsi"/>
          <w:i/>
          <w:sz w:val="24"/>
          <w:szCs w:val="24"/>
        </w:rPr>
        <w:t>100406 mètres linéaires de collecteurs construits,</w:t>
      </w:r>
    </w:p>
    <w:p w:rsidR="00B755CA" w:rsidRDefault="00D863B8" w:rsidP="00D54C69">
      <w:pPr>
        <w:pStyle w:val="Paragraphedeliste"/>
        <w:numPr>
          <w:ilvl w:val="0"/>
          <w:numId w:val="75"/>
        </w:numPr>
        <w:spacing w:before="120" w:line="360" w:lineRule="auto"/>
        <w:jc w:val="both"/>
        <w:rPr>
          <w:rFonts w:asciiTheme="minorHAnsi" w:hAnsiTheme="minorHAnsi"/>
          <w:i/>
          <w:sz w:val="24"/>
          <w:szCs w:val="24"/>
        </w:rPr>
      </w:pPr>
      <w:r w:rsidRPr="00D54C69">
        <w:rPr>
          <w:rFonts w:asciiTheme="minorHAnsi" w:hAnsiTheme="minorHAnsi"/>
          <w:i/>
          <w:sz w:val="24"/>
          <w:szCs w:val="24"/>
        </w:rPr>
        <w:t xml:space="preserve"> 353357 ml de caniveaux construits,</w:t>
      </w:r>
    </w:p>
    <w:p w:rsidR="00D863B8" w:rsidRPr="00D54C69" w:rsidRDefault="00D863B8" w:rsidP="00D54C69">
      <w:pPr>
        <w:pStyle w:val="Paragraphedeliste"/>
        <w:numPr>
          <w:ilvl w:val="0"/>
          <w:numId w:val="75"/>
        </w:numPr>
        <w:spacing w:before="120" w:line="360" w:lineRule="auto"/>
        <w:jc w:val="both"/>
        <w:rPr>
          <w:rFonts w:asciiTheme="minorHAnsi" w:hAnsiTheme="minorHAnsi"/>
          <w:i/>
          <w:sz w:val="24"/>
          <w:szCs w:val="24"/>
        </w:rPr>
      </w:pPr>
      <w:r w:rsidRPr="00D54C69">
        <w:rPr>
          <w:rFonts w:asciiTheme="minorHAnsi" w:hAnsiTheme="minorHAnsi"/>
          <w:i/>
          <w:sz w:val="24"/>
          <w:szCs w:val="24"/>
        </w:rPr>
        <w:t xml:space="preserve"> 14819 ml de collecteurs réhabilités et 128386 ml de caniveaux réhabilités</w:t>
      </w:r>
    </w:p>
    <w:p w:rsidR="00E85187" w:rsidRDefault="00E85187" w:rsidP="00A929CE">
      <w:pPr>
        <w:pStyle w:val="Titre3"/>
      </w:pPr>
      <w:bookmarkStart w:id="17" w:name="_Toc536448575"/>
      <w:r w:rsidRPr="00D863B8">
        <w:t>Gestion des déchets spéciaux</w:t>
      </w:r>
      <w:bookmarkEnd w:id="17"/>
    </w:p>
    <w:p w:rsidR="00DC2972" w:rsidRPr="006E0389" w:rsidRDefault="00DC2972" w:rsidP="006E0389">
      <w:pPr>
        <w:autoSpaceDE w:val="0"/>
        <w:autoSpaceDN w:val="0"/>
        <w:adjustRightInd w:val="0"/>
        <w:spacing w:line="360" w:lineRule="auto"/>
        <w:jc w:val="both"/>
        <w:rPr>
          <w:rFonts w:asciiTheme="minorHAnsi" w:hAnsiTheme="minorHAnsi"/>
          <w:sz w:val="24"/>
        </w:rPr>
      </w:pPr>
      <w:r w:rsidRPr="006E0389">
        <w:rPr>
          <w:rFonts w:asciiTheme="minorHAnsi" w:hAnsiTheme="minorHAnsi"/>
          <w:iCs/>
          <w:sz w:val="24"/>
        </w:rPr>
        <w:t xml:space="preserve">Au Mali, les déchets produits sont non seulement de plus en plus nombreux, mais aussi de plus en plus variés. Cette tendance est liée au développement de l’économie de marché, par la production accrue des déchets issus de la consommation des ménages, mais surtout de ceux issus des processus industriels qui fabriquent des biens en toujours plus grande quantité, à l’échelle mondiale. </w:t>
      </w:r>
      <w:r w:rsidRPr="006E0389">
        <w:rPr>
          <w:rFonts w:asciiTheme="minorHAnsi" w:hAnsiTheme="minorHAnsi"/>
          <w:sz w:val="24"/>
        </w:rPr>
        <w:t>Les statistiques maliennes sur les déchets dangereux sont difficiles à rassembler. Les données sont peu disponibles car elles ne sont comptabilisées que lors du traitement des déchets, et ce, selon l’approche économique préétabli</w:t>
      </w:r>
      <w:r w:rsidR="00B755CA">
        <w:rPr>
          <w:rFonts w:asciiTheme="minorHAnsi" w:hAnsiTheme="minorHAnsi"/>
          <w:sz w:val="24"/>
        </w:rPr>
        <w:t>e</w:t>
      </w:r>
      <w:r w:rsidRPr="006E0389">
        <w:rPr>
          <w:rFonts w:asciiTheme="minorHAnsi" w:hAnsiTheme="minorHAnsi"/>
          <w:sz w:val="24"/>
        </w:rPr>
        <w:t xml:space="preserve"> avec des entreprises d’élimination. </w:t>
      </w:r>
    </w:p>
    <w:p w:rsidR="00D863B8" w:rsidRPr="00F0528A" w:rsidRDefault="00DC2972" w:rsidP="00D863B8">
      <w:pPr>
        <w:pStyle w:val="BodyText"/>
        <w:spacing w:line="360" w:lineRule="auto"/>
        <w:rPr>
          <w:rFonts w:asciiTheme="minorHAnsi" w:hAnsiTheme="minorHAnsi" w:cstheme="minorHAnsi"/>
          <w:sz w:val="24"/>
          <w:szCs w:val="24"/>
        </w:rPr>
      </w:pPr>
      <w:r>
        <w:rPr>
          <w:rFonts w:asciiTheme="minorHAnsi" w:hAnsiTheme="minorHAnsi" w:cstheme="minorHAnsi"/>
          <w:sz w:val="24"/>
          <w:szCs w:val="24"/>
        </w:rPr>
        <w:t>Mais d</w:t>
      </w:r>
      <w:r w:rsidR="00D863B8" w:rsidRPr="00F0528A">
        <w:rPr>
          <w:rFonts w:asciiTheme="minorHAnsi" w:hAnsiTheme="minorHAnsi" w:cstheme="minorHAnsi"/>
          <w:sz w:val="24"/>
          <w:szCs w:val="24"/>
        </w:rPr>
        <w:t>’une manière générale, la surveillance, le traitement et l’élimination des déchets spéciaux restent aléatoire</w:t>
      </w:r>
      <w:r w:rsidR="00B755CA">
        <w:rPr>
          <w:rFonts w:asciiTheme="minorHAnsi" w:hAnsiTheme="minorHAnsi" w:cstheme="minorHAnsi"/>
          <w:sz w:val="24"/>
          <w:szCs w:val="24"/>
        </w:rPr>
        <w:t>s</w:t>
      </w:r>
      <w:r w:rsidR="00D863B8" w:rsidRPr="00F0528A">
        <w:rPr>
          <w:rFonts w:asciiTheme="minorHAnsi" w:hAnsiTheme="minorHAnsi" w:cstheme="minorHAnsi"/>
          <w:sz w:val="24"/>
          <w:szCs w:val="24"/>
        </w:rPr>
        <w:t xml:space="preserve"> car les équipements nécessaires à leur meilleure gestion sont rares. Il apparaît également que les déchets toxiques des sites miniers causent aujourd’hui de plus en plus des dégâts environnementaux et sanitaires dans les zones concernées.</w:t>
      </w:r>
    </w:p>
    <w:p w:rsidR="00C70AC3" w:rsidRPr="00A929CE" w:rsidRDefault="002845C8" w:rsidP="00A929CE">
      <w:pPr>
        <w:pStyle w:val="Titre3"/>
        <w:spacing w:line="360" w:lineRule="auto"/>
        <w:rPr>
          <w:rFonts w:asciiTheme="minorHAnsi" w:hAnsiTheme="minorHAnsi"/>
          <w:sz w:val="24"/>
          <w:szCs w:val="24"/>
        </w:rPr>
      </w:pPr>
      <w:bookmarkStart w:id="18" w:name="_Toc536448576"/>
      <w:r w:rsidRPr="00A929CE">
        <w:rPr>
          <w:rFonts w:asciiTheme="minorHAnsi" w:hAnsiTheme="minorHAnsi"/>
          <w:sz w:val="24"/>
          <w:szCs w:val="24"/>
        </w:rPr>
        <w:t xml:space="preserve">Appréciation de </w:t>
      </w:r>
      <w:r w:rsidR="00C70AC3" w:rsidRPr="00A929CE">
        <w:rPr>
          <w:rFonts w:asciiTheme="minorHAnsi" w:hAnsiTheme="minorHAnsi"/>
          <w:sz w:val="24"/>
          <w:szCs w:val="24"/>
        </w:rPr>
        <w:t>la mise en œuvre du cadre juridique et institutionnel</w:t>
      </w:r>
      <w:bookmarkEnd w:id="18"/>
    </w:p>
    <w:p w:rsidR="00C87881" w:rsidRPr="001754BB" w:rsidRDefault="00C70AC3" w:rsidP="00B8772C">
      <w:pPr>
        <w:spacing w:line="360" w:lineRule="auto"/>
        <w:jc w:val="both"/>
        <w:rPr>
          <w:rFonts w:asciiTheme="minorHAnsi" w:hAnsiTheme="minorHAnsi" w:cstheme="minorHAnsi"/>
          <w:sz w:val="24"/>
          <w:szCs w:val="24"/>
        </w:rPr>
      </w:pPr>
      <w:r w:rsidRPr="00B8772C">
        <w:rPr>
          <w:rFonts w:asciiTheme="minorHAnsi" w:hAnsiTheme="minorHAnsi" w:cstheme="minorHAnsi"/>
          <w:color w:val="000000"/>
          <w:sz w:val="24"/>
          <w:szCs w:val="24"/>
        </w:rPr>
        <w:t xml:space="preserve">De nombreux textes législatifs et réglementaires ont été adoptés en vue </w:t>
      </w:r>
      <w:r w:rsidRPr="00B8772C">
        <w:rPr>
          <w:rFonts w:asciiTheme="minorHAnsi" w:hAnsiTheme="minorHAnsi" w:cstheme="minorHAnsi"/>
          <w:sz w:val="24"/>
          <w:szCs w:val="24"/>
        </w:rPr>
        <w:t>de prendre en charge les questions relatives à l’assainissement. Ces textes qui posent le principe de la responsabilité des diverses parties prenantes sont contenus notamment dans le Code d’hygiène publique, la loi sur les p</w:t>
      </w:r>
      <w:r w:rsidRPr="001754BB">
        <w:rPr>
          <w:rFonts w:asciiTheme="minorHAnsi" w:hAnsiTheme="minorHAnsi" w:cstheme="minorHAnsi"/>
          <w:sz w:val="24"/>
          <w:szCs w:val="24"/>
        </w:rPr>
        <w:t xml:space="preserve">ollutions et nuisances, le Code de l’eau, les lois et règlements relatifs à la protection de l’environnement, le Code général des collectivités territoriales, les lois et règlements portant sur l’aménagement de l’espace urbain, etc. </w:t>
      </w:r>
    </w:p>
    <w:p w:rsidR="001D1420" w:rsidRPr="00112EE9" w:rsidRDefault="00C70AC3" w:rsidP="00B8772C">
      <w:pPr>
        <w:spacing w:line="360" w:lineRule="auto"/>
        <w:jc w:val="both"/>
        <w:rPr>
          <w:rFonts w:asciiTheme="minorHAnsi" w:hAnsiTheme="minorHAnsi" w:cstheme="minorHAnsi"/>
          <w:sz w:val="24"/>
          <w:szCs w:val="24"/>
        </w:rPr>
      </w:pPr>
      <w:r w:rsidRPr="00BC7FF5">
        <w:rPr>
          <w:rFonts w:asciiTheme="minorHAnsi" w:hAnsiTheme="minorHAnsi" w:cstheme="minorHAnsi"/>
          <w:sz w:val="24"/>
          <w:szCs w:val="24"/>
        </w:rPr>
        <w:t>Certains de ces textes sont dépassés et ont besoin d’être actualisés pour mieux pr</w:t>
      </w:r>
      <w:r w:rsidRPr="00112EE9">
        <w:rPr>
          <w:rFonts w:asciiTheme="minorHAnsi" w:hAnsiTheme="minorHAnsi" w:cstheme="minorHAnsi"/>
          <w:sz w:val="24"/>
          <w:szCs w:val="24"/>
        </w:rPr>
        <w:t>endre en compte certains défis. C’est le cas en particulier de la loi sur les pollutions et nuisances ou encore le Code d’hygiène publique. Il faut noter que le cadre juridique est épars et donc en proie à de nombreuses incohérences</w:t>
      </w:r>
      <w:r w:rsidR="001D1420" w:rsidRPr="00112EE9">
        <w:rPr>
          <w:rFonts w:asciiTheme="minorHAnsi" w:hAnsiTheme="minorHAnsi" w:cstheme="minorHAnsi"/>
          <w:sz w:val="24"/>
          <w:szCs w:val="24"/>
        </w:rPr>
        <w:t>. L’émiettement qui caractérise la règlementation relative à l’assainissement est au moins en partie, la conséquence du foisonnement institutionnel lequel donne à la gestion du sous-secteur, l’aspect d’un véritable puzzle au sein duquel cohabitent diverses structures ayant des attributions souvent concurrentes.</w:t>
      </w:r>
    </w:p>
    <w:p w:rsidR="001D1420" w:rsidRPr="00A929CE" w:rsidRDefault="001D1420" w:rsidP="001754BB">
      <w:pPr>
        <w:pStyle w:val="Corpsdetexte"/>
        <w:spacing w:line="360" w:lineRule="auto"/>
        <w:rPr>
          <w:rFonts w:asciiTheme="minorHAnsi" w:hAnsiTheme="minorHAnsi" w:cstheme="minorHAnsi"/>
          <w:szCs w:val="24"/>
        </w:rPr>
      </w:pPr>
      <w:r w:rsidRPr="00A929CE">
        <w:rPr>
          <w:rFonts w:asciiTheme="minorHAnsi" w:hAnsiTheme="minorHAnsi" w:cstheme="minorHAnsi"/>
          <w:szCs w:val="24"/>
        </w:rPr>
        <w:t>Une illustration de ce chevauchement des compétences nous est fourni</w:t>
      </w:r>
      <w:r w:rsidR="00CB100E" w:rsidRPr="00A929CE">
        <w:rPr>
          <w:rFonts w:asciiTheme="minorHAnsi" w:hAnsiTheme="minorHAnsi" w:cstheme="minorHAnsi"/>
          <w:szCs w:val="24"/>
        </w:rPr>
        <w:t>e</w:t>
      </w:r>
      <w:r w:rsidRPr="00A929CE">
        <w:rPr>
          <w:rFonts w:asciiTheme="minorHAnsi" w:hAnsiTheme="minorHAnsi" w:cstheme="minorHAnsi"/>
          <w:szCs w:val="24"/>
        </w:rPr>
        <w:t xml:space="preserve"> par l’ordonnance N°07-015 /P-RM du 28 mars 2007 portant création de l’Agence nationale de gestion des stations d’épuration du Mali.</w:t>
      </w:r>
      <w:r w:rsidR="00C70AC3" w:rsidRPr="00A929CE">
        <w:rPr>
          <w:rFonts w:asciiTheme="minorHAnsi" w:hAnsiTheme="minorHAnsi" w:cstheme="minorHAnsi"/>
          <w:szCs w:val="24"/>
        </w:rPr>
        <w:t> </w:t>
      </w:r>
    </w:p>
    <w:p w:rsidR="0057715E" w:rsidRPr="00A929CE" w:rsidRDefault="001665D5" w:rsidP="00A929CE">
      <w:pPr>
        <w:pStyle w:val="Titre3"/>
        <w:spacing w:line="360" w:lineRule="auto"/>
        <w:rPr>
          <w:rFonts w:asciiTheme="minorHAnsi" w:hAnsiTheme="minorHAnsi"/>
          <w:sz w:val="24"/>
          <w:szCs w:val="24"/>
        </w:rPr>
      </w:pPr>
      <w:bookmarkStart w:id="19" w:name="_Toc536448577"/>
      <w:r>
        <w:rPr>
          <w:rFonts w:asciiTheme="minorHAnsi" w:hAnsiTheme="minorHAnsi"/>
          <w:sz w:val="24"/>
          <w:szCs w:val="24"/>
        </w:rPr>
        <w:t>C</w:t>
      </w:r>
      <w:r w:rsidR="0057715E" w:rsidRPr="00A929CE">
        <w:rPr>
          <w:rFonts w:asciiTheme="minorHAnsi" w:hAnsiTheme="minorHAnsi"/>
          <w:sz w:val="24"/>
          <w:szCs w:val="24"/>
        </w:rPr>
        <w:t>oncertation/coordination du sous-secteur Assainissement</w:t>
      </w:r>
      <w:bookmarkEnd w:id="19"/>
    </w:p>
    <w:p w:rsidR="00F53FEC" w:rsidRPr="00B8772C" w:rsidRDefault="0057715E" w:rsidP="00B8772C">
      <w:pPr>
        <w:pStyle w:val="Corpsdetexte"/>
        <w:spacing w:line="360" w:lineRule="auto"/>
        <w:rPr>
          <w:rFonts w:asciiTheme="minorHAnsi" w:hAnsiTheme="minorHAnsi"/>
          <w:szCs w:val="24"/>
          <w:lang w:eastAsia="de-DE"/>
        </w:rPr>
      </w:pPr>
      <w:r w:rsidRPr="00B8772C">
        <w:rPr>
          <w:rFonts w:asciiTheme="minorHAnsi" w:hAnsiTheme="minorHAnsi"/>
          <w:szCs w:val="24"/>
          <w:lang w:eastAsia="de-DE"/>
        </w:rPr>
        <w:t>Dans le secteur de l’eau et de l’assainissement, il s’est instauré une concertation régulière entre les acteurs. On peut citer :</w:t>
      </w:r>
    </w:p>
    <w:p w:rsidR="0057715E" w:rsidRPr="00BC7FF5" w:rsidRDefault="0057715E" w:rsidP="00B8772C">
      <w:pPr>
        <w:pStyle w:val="Corpsdetexte"/>
        <w:numPr>
          <w:ilvl w:val="0"/>
          <w:numId w:val="60"/>
        </w:numPr>
        <w:spacing w:line="360" w:lineRule="auto"/>
        <w:rPr>
          <w:rFonts w:asciiTheme="minorHAnsi" w:hAnsiTheme="minorHAnsi" w:cstheme="minorHAnsi"/>
          <w:szCs w:val="24"/>
        </w:rPr>
      </w:pPr>
      <w:r w:rsidRPr="00B8772C">
        <w:rPr>
          <w:rFonts w:asciiTheme="minorHAnsi" w:hAnsiTheme="minorHAnsi" w:cstheme="minorHAnsi"/>
          <w:szCs w:val="24"/>
        </w:rPr>
        <w:t>Le Comité de coordination du secteur eau et assainissement</w:t>
      </w:r>
      <w:r w:rsidR="00CE2994">
        <w:rPr>
          <w:rFonts w:asciiTheme="minorHAnsi" w:hAnsiTheme="minorHAnsi" w:cstheme="minorHAnsi"/>
          <w:szCs w:val="24"/>
        </w:rPr>
        <w:t xml:space="preserve"> </w:t>
      </w:r>
      <w:r w:rsidRPr="001754BB">
        <w:rPr>
          <w:rFonts w:asciiTheme="minorHAnsi" w:hAnsiTheme="minorHAnsi" w:cstheme="minorHAnsi"/>
          <w:szCs w:val="24"/>
        </w:rPr>
        <w:t>présidé par le Ministre c</w:t>
      </w:r>
      <w:r w:rsidRPr="00BC7FF5">
        <w:rPr>
          <w:rFonts w:asciiTheme="minorHAnsi" w:hAnsiTheme="minorHAnsi" w:cstheme="minorHAnsi"/>
          <w:szCs w:val="24"/>
        </w:rPr>
        <w:t>hargé de l’hydraulique secondé par le Ministre chargé du Plan ;</w:t>
      </w:r>
    </w:p>
    <w:p w:rsidR="0057715E" w:rsidRPr="00112EE9" w:rsidRDefault="0057715E" w:rsidP="00B8772C">
      <w:pPr>
        <w:pStyle w:val="Corpsdetexte"/>
        <w:numPr>
          <w:ilvl w:val="0"/>
          <w:numId w:val="60"/>
        </w:numPr>
        <w:spacing w:line="360" w:lineRule="auto"/>
        <w:rPr>
          <w:rFonts w:asciiTheme="minorHAnsi" w:hAnsiTheme="minorHAnsi"/>
          <w:szCs w:val="24"/>
        </w:rPr>
      </w:pPr>
      <w:r w:rsidRPr="00BC7FF5">
        <w:rPr>
          <w:rFonts w:asciiTheme="minorHAnsi" w:hAnsiTheme="minorHAnsi"/>
          <w:szCs w:val="24"/>
        </w:rPr>
        <w:t xml:space="preserve">Le groupe thématique « eau et assainissement » qui regroupe périodiquement les partenaires techniques et financiers du secteur, leur permet d’échanger sur des points précis et de convenir sur </w:t>
      </w:r>
      <w:r w:rsidRPr="00112EE9">
        <w:rPr>
          <w:rFonts w:asciiTheme="minorHAnsi" w:hAnsiTheme="minorHAnsi"/>
          <w:szCs w:val="24"/>
        </w:rPr>
        <w:t>le contenu des messages à partager soit avec les Ministères concernés, soit avec le Chef du Gouvernement dans le cadre du dialogue politique ;</w:t>
      </w:r>
    </w:p>
    <w:p w:rsidR="00C8043A" w:rsidRPr="00D863B8" w:rsidRDefault="00C8043A" w:rsidP="001754BB">
      <w:pPr>
        <w:pStyle w:val="BodyText"/>
        <w:numPr>
          <w:ilvl w:val="0"/>
          <w:numId w:val="60"/>
        </w:numPr>
        <w:spacing w:line="360" w:lineRule="auto"/>
        <w:rPr>
          <w:rFonts w:asciiTheme="minorHAnsi" w:hAnsiTheme="minorHAnsi"/>
          <w:sz w:val="24"/>
          <w:szCs w:val="24"/>
        </w:rPr>
      </w:pPr>
      <w:r w:rsidRPr="00112EE9">
        <w:rPr>
          <w:rFonts w:asciiTheme="minorHAnsi" w:hAnsiTheme="minorHAnsi"/>
          <w:sz w:val="24"/>
          <w:szCs w:val="24"/>
        </w:rPr>
        <w:t>La revue sectorielle des acteurs de l’eau et de l’assainissement qui est organisée chaque année sous l’égide de la Cellule de planification et de statistique (CPS) du secteur Eau, Environnement, Urbanisme et Domaines de l’Etat (CPS_SEEUDE). Cette revue qui regroupe les représentants de l’Etat, ceux des PTF et des organisations de la société civile intervenant dans le secteur constitue un moment privilégié au cours duquel il est dressé un bilan des réalisations assorti de perspectives et de recommandations. Bien que les questions relatives à l’assainissement soient discutées au cours de ces assises, la faiblesse de l’analyse de la situation ne permet pas d’orienter les interventions en faveur de ce sous-secteur qui demeure le parent</w:t>
      </w:r>
      <w:r w:rsidR="00CB100E" w:rsidRPr="00112EE9">
        <w:rPr>
          <w:rFonts w:asciiTheme="minorHAnsi" w:hAnsiTheme="minorHAnsi"/>
          <w:sz w:val="24"/>
          <w:szCs w:val="24"/>
        </w:rPr>
        <w:t xml:space="preserve"> pauvre</w:t>
      </w:r>
      <w:r w:rsidRPr="00D863B8">
        <w:rPr>
          <w:rFonts w:asciiTheme="minorHAnsi" w:hAnsiTheme="minorHAnsi"/>
          <w:sz w:val="24"/>
          <w:szCs w:val="24"/>
        </w:rPr>
        <w:t xml:space="preserve"> du couple eau et assainissement.</w:t>
      </w:r>
    </w:p>
    <w:p w:rsidR="00C8043A" w:rsidRPr="00A929CE" w:rsidRDefault="00C8043A" w:rsidP="001754BB">
      <w:pPr>
        <w:pStyle w:val="BodyText"/>
        <w:numPr>
          <w:ilvl w:val="0"/>
          <w:numId w:val="60"/>
        </w:numPr>
        <w:spacing w:line="360" w:lineRule="auto"/>
        <w:rPr>
          <w:rFonts w:asciiTheme="minorHAnsi" w:hAnsiTheme="minorHAnsi"/>
          <w:sz w:val="24"/>
          <w:szCs w:val="24"/>
        </w:rPr>
      </w:pPr>
      <w:r w:rsidRPr="00A929CE">
        <w:rPr>
          <w:rFonts w:asciiTheme="minorHAnsi" w:hAnsiTheme="minorHAnsi"/>
          <w:sz w:val="24"/>
          <w:szCs w:val="24"/>
        </w:rPr>
        <w:t>Au niveau régional, la coordination du volet assainissement est diluée dans la coordination générale des actions de développement que mènent les Comités régionaux d’orientation, de coordination et de suivi des actions de développement (CROCSAD). Leur mission est de promouvoir la synergie des actions de développement entre les différents intervenants dans les régions. Ces comités disposent de répondants aux échelles de cercles et de communes. Du fait de la vocation généraliste de ces comités, la concertation entre les intervenants dans le sous-secteur de l’assainissement manque de visibilité.</w:t>
      </w:r>
    </w:p>
    <w:p w:rsidR="00C8043A" w:rsidRPr="00A929CE" w:rsidRDefault="00C8043A" w:rsidP="001754BB">
      <w:pPr>
        <w:pStyle w:val="BodyText"/>
        <w:spacing w:line="360" w:lineRule="auto"/>
        <w:rPr>
          <w:rFonts w:asciiTheme="minorHAnsi" w:hAnsiTheme="minorHAnsi"/>
          <w:sz w:val="24"/>
          <w:szCs w:val="24"/>
          <w:lang w:eastAsia="en-GB"/>
        </w:rPr>
      </w:pPr>
      <w:r w:rsidRPr="00A929CE">
        <w:rPr>
          <w:rFonts w:asciiTheme="minorHAnsi" w:hAnsiTheme="minorHAnsi"/>
          <w:sz w:val="24"/>
          <w:szCs w:val="24"/>
          <w:lang w:eastAsia="en-GB"/>
        </w:rPr>
        <w:t>D’autres cadres de concertation moins formels ont été mis en place sous l’impulsion des organisations de la société civile pour répondre au contexte d’urgence humanitaire dans lequel se trouve le Mali. Ces cadres symbolisés par les « clusters WASH » organisent la concertation opérationnelle tant au niveau national que régional.</w:t>
      </w:r>
    </w:p>
    <w:p w:rsidR="00C8043A" w:rsidRPr="00A929CE" w:rsidRDefault="00C8043A" w:rsidP="00BC7FF5">
      <w:pPr>
        <w:pStyle w:val="BodyText"/>
        <w:spacing w:line="360" w:lineRule="auto"/>
        <w:rPr>
          <w:rFonts w:asciiTheme="minorHAnsi" w:hAnsiTheme="minorHAnsi"/>
          <w:color w:val="000000"/>
          <w:sz w:val="24"/>
          <w:szCs w:val="24"/>
        </w:rPr>
      </w:pPr>
      <w:r w:rsidRPr="00A929CE">
        <w:rPr>
          <w:rFonts w:asciiTheme="minorHAnsi" w:hAnsiTheme="minorHAnsi"/>
          <w:sz w:val="24"/>
          <w:szCs w:val="24"/>
        </w:rPr>
        <w:t xml:space="preserve">En dépit de l’existence de ces différentes initiatives, le </w:t>
      </w:r>
      <w:r w:rsidRPr="00A929CE">
        <w:rPr>
          <w:rFonts w:asciiTheme="minorHAnsi" w:hAnsiTheme="minorHAnsi"/>
          <w:color w:val="000000"/>
          <w:sz w:val="24"/>
          <w:szCs w:val="24"/>
        </w:rPr>
        <w:t>niveau de concertation entre les acteurs en présence reste faible au point où il ne leur a pas permis de développer une collaboration opérationnelle susceptible de booster le sous-secteur. Aussi les approches en matière d’assainissement sont demeurées largement sectorielles et verticales. Ce faisant, elles ont laissé se perpétuer les conflits de compétences que la mise en œuvre efficace de la PNA devrait permettre de surmonter.</w:t>
      </w:r>
    </w:p>
    <w:p w:rsidR="00C8043A" w:rsidRPr="00A929CE" w:rsidRDefault="001665D5" w:rsidP="00A929CE">
      <w:pPr>
        <w:pStyle w:val="Titre2"/>
        <w:spacing w:line="360" w:lineRule="auto"/>
        <w:rPr>
          <w:rFonts w:asciiTheme="minorHAnsi" w:hAnsiTheme="minorHAnsi"/>
          <w:szCs w:val="24"/>
        </w:rPr>
      </w:pPr>
      <w:bookmarkStart w:id="20" w:name="_Toc536448578"/>
      <w:r>
        <w:rPr>
          <w:rFonts w:asciiTheme="minorHAnsi" w:hAnsiTheme="minorHAnsi"/>
          <w:szCs w:val="24"/>
        </w:rPr>
        <w:t>C</w:t>
      </w:r>
      <w:r w:rsidR="00FD69BF" w:rsidRPr="00A929CE">
        <w:rPr>
          <w:rFonts w:asciiTheme="minorHAnsi" w:hAnsiTheme="minorHAnsi"/>
          <w:szCs w:val="24"/>
        </w:rPr>
        <w:t>onclusions</w:t>
      </w:r>
      <w:bookmarkEnd w:id="20"/>
    </w:p>
    <w:p w:rsidR="00FD69BF" w:rsidRPr="001754BB" w:rsidRDefault="00FD69BF" w:rsidP="00B8772C">
      <w:pPr>
        <w:pStyle w:val="BodyText"/>
        <w:spacing w:line="360" w:lineRule="auto"/>
        <w:rPr>
          <w:rFonts w:asciiTheme="minorHAnsi" w:hAnsiTheme="minorHAnsi"/>
          <w:sz w:val="24"/>
          <w:szCs w:val="24"/>
        </w:rPr>
      </w:pPr>
      <w:r w:rsidRPr="00B8772C">
        <w:rPr>
          <w:rFonts w:asciiTheme="minorHAnsi" w:hAnsiTheme="minorHAnsi"/>
          <w:sz w:val="24"/>
          <w:szCs w:val="24"/>
        </w:rPr>
        <w:t xml:space="preserve">Du diagnostic </w:t>
      </w:r>
      <w:r w:rsidR="007C675C" w:rsidRPr="00B8772C">
        <w:rPr>
          <w:rFonts w:asciiTheme="minorHAnsi" w:hAnsiTheme="minorHAnsi"/>
          <w:sz w:val="24"/>
          <w:szCs w:val="24"/>
        </w:rPr>
        <w:t xml:space="preserve">du secteur de l’assainissement et de l’évaluation </w:t>
      </w:r>
      <w:r w:rsidRPr="00B8772C">
        <w:rPr>
          <w:rFonts w:asciiTheme="minorHAnsi" w:hAnsiTheme="minorHAnsi"/>
          <w:sz w:val="24"/>
          <w:szCs w:val="24"/>
        </w:rPr>
        <w:t xml:space="preserve">de la PNA et de ses stratégies sous-sectorielles, il ressort les constats qui suivent : </w:t>
      </w:r>
    </w:p>
    <w:p w:rsidR="00FD69BF" w:rsidRPr="001754BB" w:rsidRDefault="00FD69BF" w:rsidP="00B8772C">
      <w:pPr>
        <w:pStyle w:val="BodyText"/>
        <w:numPr>
          <w:ilvl w:val="0"/>
          <w:numId w:val="48"/>
        </w:numPr>
        <w:spacing w:line="360" w:lineRule="auto"/>
        <w:rPr>
          <w:rFonts w:asciiTheme="minorHAnsi" w:hAnsiTheme="minorHAnsi" w:cstheme="minorHAnsi"/>
          <w:sz w:val="24"/>
          <w:szCs w:val="24"/>
        </w:rPr>
      </w:pPr>
      <w:r w:rsidRPr="001754BB">
        <w:rPr>
          <w:rFonts w:asciiTheme="minorHAnsi" w:hAnsiTheme="minorHAnsi" w:cstheme="minorHAnsi"/>
          <w:sz w:val="24"/>
          <w:szCs w:val="24"/>
        </w:rPr>
        <w:t>Le dispositif de pilotage proposé dans le document PNA pour sa mise en œuvre n’a jamais vu le jour. Ce qui a occasionné une conduite disparate des actions et activités d’assainissement, malgré leur impact certain ;</w:t>
      </w:r>
    </w:p>
    <w:p w:rsidR="00FD69BF" w:rsidRPr="00112EE9" w:rsidRDefault="00FD69BF" w:rsidP="001754BB">
      <w:pPr>
        <w:pStyle w:val="BodyText"/>
        <w:numPr>
          <w:ilvl w:val="0"/>
          <w:numId w:val="48"/>
        </w:numPr>
        <w:spacing w:line="360" w:lineRule="auto"/>
        <w:rPr>
          <w:rFonts w:asciiTheme="minorHAnsi" w:hAnsiTheme="minorHAnsi" w:cstheme="minorHAnsi"/>
          <w:sz w:val="24"/>
          <w:szCs w:val="24"/>
        </w:rPr>
      </w:pPr>
      <w:r w:rsidRPr="00BC7FF5">
        <w:rPr>
          <w:rFonts w:asciiTheme="minorHAnsi" w:hAnsiTheme="minorHAnsi" w:cstheme="minorHAnsi"/>
          <w:sz w:val="24"/>
          <w:szCs w:val="24"/>
        </w:rPr>
        <w:t>Les comités de suivi-évaluation clairement identifiés et détaillés dans le document PNA n’ont pas été mis en place. La CPS-SEEUDE a suppléé à cette carence en prenant en charge les activités de suivi –évaluation des projets et programmes en lien avec l’assainissement. Il faut avouer que sans un canevas d’indicateurs adressé à cet effet, ce s</w:t>
      </w:r>
      <w:r w:rsidRPr="00112EE9">
        <w:rPr>
          <w:rFonts w:asciiTheme="minorHAnsi" w:hAnsiTheme="minorHAnsi" w:cstheme="minorHAnsi"/>
          <w:sz w:val="24"/>
          <w:szCs w:val="24"/>
        </w:rPr>
        <w:t>uivi-évaluation reste dans le registre de l’imparfait ;</w:t>
      </w:r>
    </w:p>
    <w:p w:rsidR="00FD69BF" w:rsidRPr="00112EE9" w:rsidRDefault="00FD69BF" w:rsidP="001754BB">
      <w:pPr>
        <w:pStyle w:val="BodyText"/>
        <w:numPr>
          <w:ilvl w:val="0"/>
          <w:numId w:val="48"/>
        </w:numPr>
        <w:spacing w:line="360" w:lineRule="auto"/>
        <w:rPr>
          <w:rFonts w:asciiTheme="minorHAnsi" w:hAnsiTheme="minorHAnsi" w:cstheme="minorHAnsi"/>
          <w:sz w:val="24"/>
          <w:szCs w:val="24"/>
        </w:rPr>
      </w:pPr>
      <w:r w:rsidRPr="00112EE9">
        <w:rPr>
          <w:rFonts w:asciiTheme="minorHAnsi" w:hAnsiTheme="minorHAnsi" w:cstheme="minorHAnsi"/>
          <w:sz w:val="24"/>
          <w:szCs w:val="24"/>
        </w:rPr>
        <w:t>La mise en œuvre de la PNA et de ses stratégies sous sectorielles a largement souffert du manque d’un Plan d’actions consolidé prenant en compte les cinq stratégies sous sectorielles associées ;</w:t>
      </w:r>
    </w:p>
    <w:p w:rsidR="00FD69BF" w:rsidRPr="00A929CE" w:rsidRDefault="00FD69BF" w:rsidP="001754BB">
      <w:pPr>
        <w:pStyle w:val="BodyText"/>
        <w:numPr>
          <w:ilvl w:val="0"/>
          <w:numId w:val="48"/>
        </w:numPr>
        <w:spacing w:line="360" w:lineRule="auto"/>
        <w:rPr>
          <w:rFonts w:asciiTheme="minorHAnsi" w:hAnsiTheme="minorHAnsi" w:cstheme="minorHAnsi"/>
          <w:sz w:val="24"/>
          <w:szCs w:val="24"/>
        </w:rPr>
      </w:pPr>
      <w:r w:rsidRPr="00A929CE">
        <w:rPr>
          <w:rFonts w:asciiTheme="minorHAnsi" w:hAnsiTheme="minorHAnsi" w:cstheme="minorHAnsi"/>
          <w:sz w:val="24"/>
          <w:szCs w:val="24"/>
        </w:rPr>
        <w:t>Cette mise en œuvre de la PNA n’a pas bénéficié d’un esprit « fédérateur » des acteurs clés, dans l’idée d’une synergie pour mener à bien les activités. Chaque acteur a plus agi isolément</w:t>
      </w:r>
      <w:r w:rsidR="00B755CA">
        <w:rPr>
          <w:rFonts w:asciiTheme="minorHAnsi" w:hAnsiTheme="minorHAnsi" w:cstheme="minorHAnsi"/>
          <w:sz w:val="24"/>
          <w:szCs w:val="24"/>
        </w:rPr>
        <w:t>, ce qui limite l’efficacité et l’</w:t>
      </w:r>
      <w:r w:rsidRPr="00A929CE">
        <w:rPr>
          <w:rFonts w:asciiTheme="minorHAnsi" w:hAnsiTheme="minorHAnsi" w:cstheme="minorHAnsi"/>
          <w:sz w:val="24"/>
          <w:szCs w:val="24"/>
        </w:rPr>
        <w:t>impact des actions ;</w:t>
      </w:r>
    </w:p>
    <w:p w:rsidR="00FD69BF" w:rsidRPr="00A929CE" w:rsidRDefault="00FD69BF" w:rsidP="00BC7FF5">
      <w:pPr>
        <w:pStyle w:val="BodyText"/>
        <w:numPr>
          <w:ilvl w:val="0"/>
          <w:numId w:val="48"/>
        </w:numPr>
        <w:spacing w:line="360" w:lineRule="auto"/>
        <w:rPr>
          <w:rFonts w:asciiTheme="minorHAnsi" w:hAnsiTheme="minorHAnsi" w:cstheme="minorHAnsi"/>
          <w:sz w:val="24"/>
          <w:szCs w:val="24"/>
        </w:rPr>
      </w:pPr>
      <w:r w:rsidRPr="00A929CE">
        <w:rPr>
          <w:rFonts w:asciiTheme="minorHAnsi" w:hAnsiTheme="minorHAnsi" w:cstheme="minorHAnsi"/>
          <w:sz w:val="24"/>
          <w:szCs w:val="24"/>
        </w:rPr>
        <w:t xml:space="preserve">La faiblesse des ressources humaines (quantité et qualité) de la structure « locomotive » qu’est la DNACPN et ses démembrements a fortement impacté la mise en œuvre de la PNA en termes d’appui-conseil aux CT, maître d’ouvrage en la matière. Cette faiblesse est demeurée présente, car le Plan de développement des ressources humaines préconisé dans le document </w:t>
      </w:r>
      <w:r w:rsidR="009E1786" w:rsidRPr="00A929CE">
        <w:rPr>
          <w:rFonts w:asciiTheme="minorHAnsi" w:hAnsiTheme="minorHAnsi" w:cstheme="minorHAnsi"/>
          <w:sz w:val="24"/>
          <w:szCs w:val="24"/>
        </w:rPr>
        <w:t xml:space="preserve">de </w:t>
      </w:r>
      <w:r w:rsidRPr="00A929CE">
        <w:rPr>
          <w:rFonts w:asciiTheme="minorHAnsi" w:hAnsiTheme="minorHAnsi" w:cstheme="minorHAnsi"/>
          <w:sz w:val="24"/>
          <w:szCs w:val="24"/>
        </w:rPr>
        <w:t>PNA n’a pas reçu d’échos favorable quant à son élaboration, voir, sa mise en œuvre. Les activités disparates de renforcement des capacités   n’ont joué que le rôle de « Placebos », ne permettant pas de combler le gap.</w:t>
      </w:r>
    </w:p>
    <w:p w:rsidR="00D861DD" w:rsidRPr="00A929CE" w:rsidRDefault="001665D5" w:rsidP="00A929CE">
      <w:pPr>
        <w:pStyle w:val="Titre2"/>
        <w:spacing w:line="360" w:lineRule="auto"/>
        <w:rPr>
          <w:rFonts w:asciiTheme="minorHAnsi" w:hAnsiTheme="minorHAnsi"/>
          <w:szCs w:val="24"/>
        </w:rPr>
      </w:pPr>
      <w:bookmarkStart w:id="21" w:name="_Toc536448579"/>
      <w:r>
        <w:rPr>
          <w:rFonts w:asciiTheme="minorHAnsi" w:hAnsiTheme="minorHAnsi"/>
          <w:szCs w:val="24"/>
        </w:rPr>
        <w:t>R</w:t>
      </w:r>
      <w:r w:rsidR="00D861DD" w:rsidRPr="00A929CE">
        <w:rPr>
          <w:rFonts w:asciiTheme="minorHAnsi" w:hAnsiTheme="minorHAnsi"/>
          <w:szCs w:val="24"/>
        </w:rPr>
        <w:t>ecommandations</w:t>
      </w:r>
      <w:bookmarkEnd w:id="21"/>
    </w:p>
    <w:p w:rsidR="00D861DD" w:rsidRPr="001754BB" w:rsidRDefault="00D861DD" w:rsidP="00B8772C">
      <w:pPr>
        <w:pStyle w:val="BodyText"/>
        <w:spacing w:line="360" w:lineRule="auto"/>
        <w:rPr>
          <w:rFonts w:asciiTheme="minorHAnsi" w:hAnsiTheme="minorHAnsi" w:cstheme="minorHAnsi"/>
          <w:sz w:val="24"/>
          <w:szCs w:val="24"/>
        </w:rPr>
      </w:pPr>
      <w:r w:rsidRPr="00B8772C">
        <w:rPr>
          <w:rFonts w:asciiTheme="minorHAnsi" w:hAnsiTheme="minorHAnsi" w:cstheme="minorHAnsi"/>
          <w:sz w:val="24"/>
          <w:szCs w:val="24"/>
        </w:rPr>
        <w:t xml:space="preserve">La prise en compte des recommandations suivantes </w:t>
      </w:r>
      <w:r w:rsidR="00477BE3" w:rsidRPr="00B8772C">
        <w:rPr>
          <w:rFonts w:asciiTheme="minorHAnsi" w:hAnsiTheme="minorHAnsi" w:cstheme="minorHAnsi"/>
          <w:sz w:val="24"/>
          <w:szCs w:val="24"/>
        </w:rPr>
        <w:t>permettra</w:t>
      </w:r>
      <w:r w:rsidRPr="00B8772C">
        <w:rPr>
          <w:rFonts w:asciiTheme="minorHAnsi" w:hAnsiTheme="minorHAnsi" w:cstheme="minorHAnsi"/>
          <w:sz w:val="24"/>
          <w:szCs w:val="24"/>
        </w:rPr>
        <w:t xml:space="preserve"> de produire un document de Politique Nationale d’Assainissement réaliste </w:t>
      </w:r>
      <w:r w:rsidR="00071988">
        <w:rPr>
          <w:rFonts w:asciiTheme="minorHAnsi" w:hAnsiTheme="minorHAnsi" w:cstheme="minorHAnsi"/>
          <w:sz w:val="24"/>
          <w:szCs w:val="24"/>
        </w:rPr>
        <w:t xml:space="preserve">s’appuyant sur </w:t>
      </w:r>
      <w:r w:rsidRPr="00B8772C">
        <w:rPr>
          <w:rFonts w:asciiTheme="minorHAnsi" w:hAnsiTheme="minorHAnsi" w:cstheme="minorHAnsi"/>
          <w:sz w:val="24"/>
          <w:szCs w:val="24"/>
        </w:rPr>
        <w:t xml:space="preserve">les évolutions présentes et futures du sous-secteur au Mali. </w:t>
      </w:r>
      <w:r w:rsidR="00BA0AF1" w:rsidRPr="00B8772C">
        <w:rPr>
          <w:rFonts w:asciiTheme="minorHAnsi" w:hAnsiTheme="minorHAnsi" w:cstheme="minorHAnsi"/>
          <w:sz w:val="24"/>
          <w:szCs w:val="24"/>
        </w:rPr>
        <w:t>Ces</w:t>
      </w:r>
      <w:r w:rsidR="00624448" w:rsidRPr="00B8772C">
        <w:rPr>
          <w:rFonts w:asciiTheme="minorHAnsi" w:hAnsiTheme="minorHAnsi" w:cstheme="minorHAnsi"/>
          <w:sz w:val="24"/>
          <w:szCs w:val="24"/>
        </w:rPr>
        <w:t xml:space="preserve"> recommandations</w:t>
      </w:r>
      <w:r w:rsidR="00071988">
        <w:rPr>
          <w:rFonts w:asciiTheme="minorHAnsi" w:hAnsiTheme="minorHAnsi" w:cstheme="minorHAnsi"/>
          <w:sz w:val="24"/>
          <w:szCs w:val="24"/>
        </w:rPr>
        <w:t xml:space="preserve"> sont susceptibles de garantir </w:t>
      </w:r>
      <w:r w:rsidRPr="001754BB">
        <w:rPr>
          <w:rFonts w:asciiTheme="minorHAnsi" w:hAnsiTheme="minorHAnsi" w:cstheme="minorHAnsi"/>
          <w:sz w:val="24"/>
          <w:szCs w:val="24"/>
        </w:rPr>
        <w:t xml:space="preserve"> une mise en œuvre engagée et </w:t>
      </w:r>
      <w:r w:rsidR="00071988">
        <w:rPr>
          <w:rFonts w:asciiTheme="minorHAnsi" w:hAnsiTheme="minorHAnsi" w:cstheme="minorHAnsi"/>
          <w:sz w:val="24"/>
          <w:szCs w:val="24"/>
        </w:rPr>
        <w:t xml:space="preserve">fédératrice </w:t>
      </w:r>
      <w:r w:rsidRPr="001754BB">
        <w:rPr>
          <w:rFonts w:asciiTheme="minorHAnsi" w:hAnsiTheme="minorHAnsi" w:cstheme="minorHAnsi"/>
          <w:sz w:val="24"/>
          <w:szCs w:val="24"/>
        </w:rPr>
        <w:t>de tous les acteurs clés.</w:t>
      </w:r>
    </w:p>
    <w:p w:rsidR="00D861DD" w:rsidRPr="00BC7FF5" w:rsidRDefault="00D861DD" w:rsidP="00B8772C">
      <w:pPr>
        <w:pStyle w:val="BodyTextind1"/>
        <w:numPr>
          <w:ilvl w:val="0"/>
          <w:numId w:val="43"/>
        </w:numPr>
        <w:spacing w:line="360" w:lineRule="auto"/>
        <w:rPr>
          <w:rFonts w:asciiTheme="minorHAnsi" w:hAnsiTheme="minorHAnsi" w:cstheme="minorHAnsi"/>
          <w:sz w:val="24"/>
          <w:szCs w:val="24"/>
        </w:rPr>
      </w:pPr>
      <w:r w:rsidRPr="001754BB">
        <w:rPr>
          <w:rFonts w:asciiTheme="minorHAnsi" w:hAnsiTheme="minorHAnsi" w:cstheme="minorHAnsi"/>
          <w:sz w:val="24"/>
          <w:szCs w:val="24"/>
        </w:rPr>
        <w:t>Poursuivre la tenue des concertations annuelles des acteurs du secteur sur la base d’un ca</w:t>
      </w:r>
      <w:r w:rsidRPr="00BC7FF5">
        <w:rPr>
          <w:rFonts w:asciiTheme="minorHAnsi" w:hAnsiTheme="minorHAnsi" w:cstheme="minorHAnsi"/>
          <w:sz w:val="24"/>
          <w:szCs w:val="24"/>
        </w:rPr>
        <w:t>dre logique claire</w:t>
      </w:r>
      <w:r w:rsidR="005550EC">
        <w:rPr>
          <w:rFonts w:asciiTheme="minorHAnsi" w:hAnsiTheme="minorHAnsi" w:cstheme="minorHAnsi"/>
          <w:sz w:val="24"/>
          <w:szCs w:val="24"/>
        </w:rPr>
        <w:t> ;</w:t>
      </w:r>
    </w:p>
    <w:p w:rsidR="00D861DD" w:rsidRPr="005274C0" w:rsidRDefault="00D861DD" w:rsidP="00B8772C">
      <w:pPr>
        <w:pStyle w:val="BodyTextind1"/>
        <w:numPr>
          <w:ilvl w:val="0"/>
          <w:numId w:val="43"/>
        </w:numPr>
        <w:spacing w:line="360" w:lineRule="auto"/>
        <w:rPr>
          <w:rFonts w:asciiTheme="minorHAnsi" w:hAnsiTheme="minorHAnsi" w:cstheme="minorHAnsi"/>
          <w:sz w:val="24"/>
          <w:szCs w:val="24"/>
        </w:rPr>
      </w:pPr>
      <w:r w:rsidRPr="00BC7FF5">
        <w:rPr>
          <w:rFonts w:asciiTheme="minorHAnsi" w:hAnsiTheme="minorHAnsi" w:cstheme="minorHAnsi"/>
          <w:sz w:val="24"/>
          <w:szCs w:val="24"/>
        </w:rPr>
        <w:t xml:space="preserve">Mettre en place un Comité de Pilotage consensuel </w:t>
      </w:r>
      <w:r w:rsidR="0058451C" w:rsidRPr="00BC7FF5">
        <w:rPr>
          <w:rFonts w:asciiTheme="minorHAnsi" w:hAnsiTheme="minorHAnsi" w:cstheme="minorHAnsi"/>
          <w:sz w:val="24"/>
          <w:szCs w:val="24"/>
        </w:rPr>
        <w:t xml:space="preserve">et opérationnel </w:t>
      </w:r>
      <w:r w:rsidRPr="005274C0">
        <w:rPr>
          <w:rFonts w:asciiTheme="minorHAnsi" w:hAnsiTheme="minorHAnsi" w:cstheme="minorHAnsi"/>
          <w:sz w:val="24"/>
          <w:szCs w:val="24"/>
        </w:rPr>
        <w:t>de la nouvelle PNA et ses stratégies rattachées</w:t>
      </w:r>
      <w:r w:rsidR="005550EC">
        <w:rPr>
          <w:rFonts w:asciiTheme="minorHAnsi" w:hAnsiTheme="minorHAnsi" w:cstheme="minorHAnsi"/>
          <w:sz w:val="24"/>
          <w:szCs w:val="24"/>
        </w:rPr>
        <w:t> ;</w:t>
      </w:r>
    </w:p>
    <w:p w:rsidR="00D861DD" w:rsidRPr="00112EE9" w:rsidRDefault="00D861DD" w:rsidP="001754BB">
      <w:pPr>
        <w:pStyle w:val="BodyTextind1"/>
        <w:numPr>
          <w:ilvl w:val="0"/>
          <w:numId w:val="43"/>
        </w:numPr>
        <w:spacing w:line="360" w:lineRule="auto"/>
        <w:rPr>
          <w:rFonts w:asciiTheme="minorHAnsi" w:hAnsiTheme="minorHAnsi" w:cstheme="minorHAnsi"/>
          <w:sz w:val="24"/>
          <w:szCs w:val="24"/>
        </w:rPr>
      </w:pPr>
      <w:r w:rsidRPr="0022409F">
        <w:rPr>
          <w:rFonts w:asciiTheme="minorHAnsi" w:hAnsiTheme="minorHAnsi" w:cstheme="minorHAnsi"/>
          <w:sz w:val="24"/>
          <w:szCs w:val="24"/>
        </w:rPr>
        <w:t>Mettre en place les Comités de suivi-évaluation aux niveaux considérés dans l’actuelle PNA (national, région, cercle, co</w:t>
      </w:r>
      <w:r w:rsidRPr="00112EE9">
        <w:rPr>
          <w:rFonts w:asciiTheme="minorHAnsi" w:hAnsiTheme="minorHAnsi" w:cstheme="minorHAnsi"/>
          <w:sz w:val="24"/>
          <w:szCs w:val="24"/>
        </w:rPr>
        <w:t>mmune) </w:t>
      </w:r>
      <w:r w:rsidR="00D04B13" w:rsidRPr="00112EE9">
        <w:rPr>
          <w:rFonts w:asciiTheme="minorHAnsi" w:hAnsiTheme="minorHAnsi" w:cstheme="minorHAnsi"/>
          <w:sz w:val="24"/>
          <w:szCs w:val="24"/>
        </w:rPr>
        <w:t xml:space="preserve">qui suivra la mise en œuvre de la PNA sur la base d’un cadre logique à </w:t>
      </w:r>
      <w:r w:rsidR="000062B1" w:rsidRPr="00112EE9">
        <w:rPr>
          <w:rFonts w:asciiTheme="minorHAnsi" w:hAnsiTheme="minorHAnsi" w:cstheme="minorHAnsi"/>
          <w:sz w:val="24"/>
          <w:szCs w:val="24"/>
        </w:rPr>
        <w:t>élaborer</w:t>
      </w:r>
      <w:r w:rsidR="005550EC">
        <w:rPr>
          <w:rFonts w:asciiTheme="minorHAnsi" w:hAnsiTheme="minorHAnsi" w:cstheme="minorHAnsi"/>
          <w:sz w:val="24"/>
          <w:szCs w:val="24"/>
        </w:rPr>
        <w:t> ;</w:t>
      </w:r>
    </w:p>
    <w:p w:rsidR="00D861DD" w:rsidRPr="00A929CE" w:rsidRDefault="00D861DD" w:rsidP="001754BB">
      <w:pPr>
        <w:pStyle w:val="BodyTextind1"/>
        <w:numPr>
          <w:ilvl w:val="0"/>
          <w:numId w:val="43"/>
        </w:numPr>
        <w:spacing w:line="360" w:lineRule="auto"/>
        <w:rPr>
          <w:rFonts w:asciiTheme="minorHAnsi" w:eastAsia="Times New Roman" w:hAnsiTheme="minorHAnsi" w:cstheme="minorHAnsi"/>
          <w:sz w:val="24"/>
          <w:szCs w:val="24"/>
          <w:lang w:eastAsia="fr-FR"/>
        </w:rPr>
      </w:pPr>
      <w:r w:rsidRPr="00D863B8">
        <w:rPr>
          <w:rFonts w:asciiTheme="minorHAnsi" w:hAnsiTheme="minorHAnsi" w:cstheme="minorHAnsi"/>
          <w:sz w:val="24"/>
          <w:szCs w:val="24"/>
        </w:rPr>
        <w:t>Clarifier, préciser davantage et définitivement, les rôles et mandats des différents acteurs du sous-secteur</w:t>
      </w:r>
      <w:r w:rsidR="005550EC">
        <w:rPr>
          <w:rFonts w:asciiTheme="minorHAnsi" w:hAnsiTheme="minorHAnsi" w:cstheme="minorHAnsi"/>
          <w:sz w:val="24"/>
          <w:szCs w:val="24"/>
        </w:rPr>
        <w:t> ;</w:t>
      </w:r>
    </w:p>
    <w:p w:rsidR="00D861DD" w:rsidRPr="00A929CE" w:rsidRDefault="00D861DD" w:rsidP="00BC7FF5">
      <w:pPr>
        <w:pStyle w:val="BodyTextind1"/>
        <w:numPr>
          <w:ilvl w:val="0"/>
          <w:numId w:val="43"/>
        </w:numPr>
        <w:spacing w:line="360" w:lineRule="auto"/>
        <w:rPr>
          <w:rFonts w:asciiTheme="minorHAnsi" w:eastAsia="Times New Roman" w:hAnsiTheme="minorHAnsi" w:cstheme="minorHAnsi"/>
          <w:sz w:val="24"/>
          <w:szCs w:val="24"/>
          <w:lang w:eastAsia="fr-FR"/>
        </w:rPr>
      </w:pPr>
      <w:r w:rsidRPr="00A929CE">
        <w:rPr>
          <w:rFonts w:asciiTheme="minorHAnsi" w:hAnsiTheme="minorHAnsi" w:cstheme="minorHAnsi"/>
          <w:color w:val="000000"/>
          <w:sz w:val="24"/>
          <w:szCs w:val="24"/>
        </w:rPr>
        <w:t>Doter la nouvelle PNA de cadre logique et d’un Programme de mise en œuvre prenant en compte les différentes stratégies sous-sectorielles</w:t>
      </w:r>
      <w:r w:rsidR="00D04B13" w:rsidRPr="00A929CE">
        <w:rPr>
          <w:rFonts w:asciiTheme="minorHAnsi" w:hAnsiTheme="minorHAnsi" w:cstheme="minorHAnsi"/>
          <w:color w:val="000000"/>
          <w:sz w:val="24"/>
          <w:szCs w:val="24"/>
        </w:rPr>
        <w:t xml:space="preserve"> (programmes) et de leurs plans d’action</w:t>
      </w:r>
      <w:r w:rsidR="005550EC">
        <w:rPr>
          <w:rFonts w:asciiTheme="minorHAnsi" w:hAnsiTheme="minorHAnsi" w:cstheme="minorHAnsi"/>
          <w:color w:val="000000"/>
          <w:sz w:val="24"/>
          <w:szCs w:val="24"/>
        </w:rPr>
        <w:t> ;</w:t>
      </w:r>
    </w:p>
    <w:p w:rsidR="00D861DD" w:rsidRPr="00A929CE" w:rsidRDefault="00D861DD" w:rsidP="00BC7FF5">
      <w:pPr>
        <w:pStyle w:val="BodyTextind1"/>
        <w:numPr>
          <w:ilvl w:val="0"/>
          <w:numId w:val="43"/>
        </w:numPr>
        <w:spacing w:line="360" w:lineRule="auto"/>
        <w:rPr>
          <w:rFonts w:asciiTheme="minorHAnsi" w:hAnsiTheme="minorHAnsi" w:cstheme="minorHAnsi"/>
          <w:sz w:val="24"/>
          <w:szCs w:val="24"/>
        </w:rPr>
      </w:pPr>
      <w:r w:rsidRPr="00A929CE">
        <w:rPr>
          <w:rFonts w:asciiTheme="minorHAnsi" w:hAnsiTheme="minorHAnsi" w:cstheme="minorHAnsi"/>
          <w:sz w:val="24"/>
          <w:szCs w:val="24"/>
        </w:rPr>
        <w:t>Faire une relecture des textes réglementaires en lien avec l’assainissement </w:t>
      </w:r>
      <w:r w:rsidR="00D04B13" w:rsidRPr="00A929CE">
        <w:rPr>
          <w:rFonts w:asciiTheme="minorHAnsi" w:hAnsiTheme="minorHAnsi" w:cstheme="minorHAnsi"/>
          <w:sz w:val="24"/>
          <w:szCs w:val="24"/>
        </w:rPr>
        <w:t xml:space="preserve">afin d’acter les harmonisations </w:t>
      </w:r>
      <w:r w:rsidR="000062B1" w:rsidRPr="00A929CE">
        <w:rPr>
          <w:rFonts w:asciiTheme="minorHAnsi" w:hAnsiTheme="minorHAnsi" w:cstheme="minorHAnsi"/>
          <w:sz w:val="24"/>
          <w:szCs w:val="24"/>
        </w:rPr>
        <w:t>nécessaires</w:t>
      </w:r>
      <w:r w:rsidR="005550EC">
        <w:rPr>
          <w:rFonts w:asciiTheme="minorHAnsi" w:hAnsiTheme="minorHAnsi" w:cstheme="minorHAnsi"/>
          <w:sz w:val="24"/>
          <w:szCs w:val="24"/>
        </w:rPr>
        <w:t> ;</w:t>
      </w:r>
    </w:p>
    <w:p w:rsidR="00D861DD" w:rsidRPr="00A929CE" w:rsidRDefault="00D861DD" w:rsidP="00112EE9">
      <w:pPr>
        <w:pStyle w:val="BodyTextind1"/>
        <w:numPr>
          <w:ilvl w:val="0"/>
          <w:numId w:val="43"/>
        </w:numPr>
        <w:spacing w:line="360" w:lineRule="auto"/>
        <w:rPr>
          <w:rFonts w:asciiTheme="minorHAnsi" w:eastAsia="Times New Roman" w:hAnsiTheme="minorHAnsi" w:cstheme="minorHAnsi"/>
          <w:sz w:val="24"/>
          <w:szCs w:val="24"/>
          <w:lang w:eastAsia="fr-FR"/>
        </w:rPr>
      </w:pPr>
      <w:r w:rsidRPr="00A929CE">
        <w:rPr>
          <w:rFonts w:asciiTheme="minorHAnsi" w:eastAsia="Times New Roman" w:hAnsiTheme="minorHAnsi" w:cstheme="minorHAnsi"/>
          <w:sz w:val="24"/>
          <w:szCs w:val="24"/>
          <w:lang w:eastAsia="fr-FR"/>
        </w:rPr>
        <w:t>Consacrer dans la nouvelle PNA une sous composante « Gouvernance » du sous-secteur Assainissement</w:t>
      </w:r>
      <w:r w:rsidR="005550EC">
        <w:rPr>
          <w:rFonts w:asciiTheme="minorHAnsi" w:eastAsia="Times New Roman" w:hAnsiTheme="minorHAnsi" w:cstheme="minorHAnsi"/>
          <w:sz w:val="24"/>
          <w:szCs w:val="24"/>
          <w:lang w:eastAsia="fr-FR"/>
        </w:rPr>
        <w:t> ;</w:t>
      </w:r>
    </w:p>
    <w:p w:rsidR="00D861DD" w:rsidRPr="00A929CE" w:rsidRDefault="00D861DD" w:rsidP="00112EE9">
      <w:pPr>
        <w:pStyle w:val="BodyTextind1"/>
        <w:numPr>
          <w:ilvl w:val="0"/>
          <w:numId w:val="43"/>
        </w:numPr>
        <w:spacing w:line="360" w:lineRule="auto"/>
        <w:rPr>
          <w:rFonts w:asciiTheme="minorHAnsi" w:hAnsiTheme="minorHAnsi" w:cstheme="minorHAnsi"/>
          <w:sz w:val="24"/>
          <w:szCs w:val="24"/>
        </w:rPr>
      </w:pPr>
      <w:r w:rsidRPr="00A929CE">
        <w:rPr>
          <w:rFonts w:asciiTheme="minorHAnsi" w:hAnsiTheme="minorHAnsi" w:cstheme="minorHAnsi"/>
          <w:sz w:val="24"/>
          <w:szCs w:val="24"/>
        </w:rPr>
        <w:t>Inclure l’A</w:t>
      </w:r>
      <w:r w:rsidR="000062B1" w:rsidRPr="00A929CE">
        <w:rPr>
          <w:rFonts w:asciiTheme="minorHAnsi" w:hAnsiTheme="minorHAnsi" w:cstheme="minorHAnsi"/>
          <w:sz w:val="24"/>
          <w:szCs w:val="24"/>
        </w:rPr>
        <w:t xml:space="preserve">pproche </w:t>
      </w:r>
      <w:r w:rsidRPr="00A929CE">
        <w:rPr>
          <w:rFonts w:asciiTheme="minorHAnsi" w:hAnsiTheme="minorHAnsi" w:cstheme="minorHAnsi"/>
          <w:sz w:val="24"/>
          <w:szCs w:val="24"/>
        </w:rPr>
        <w:t>F</w:t>
      </w:r>
      <w:r w:rsidR="000062B1" w:rsidRPr="00A929CE">
        <w:rPr>
          <w:rFonts w:asciiTheme="minorHAnsi" w:hAnsiTheme="minorHAnsi" w:cstheme="minorHAnsi"/>
          <w:sz w:val="24"/>
          <w:szCs w:val="24"/>
        </w:rPr>
        <w:t xml:space="preserve">ondée sur les </w:t>
      </w:r>
      <w:r w:rsidRPr="00A929CE">
        <w:rPr>
          <w:rFonts w:asciiTheme="minorHAnsi" w:hAnsiTheme="minorHAnsi" w:cstheme="minorHAnsi"/>
          <w:sz w:val="24"/>
          <w:szCs w:val="24"/>
        </w:rPr>
        <w:t>D</w:t>
      </w:r>
      <w:r w:rsidR="000062B1" w:rsidRPr="00A929CE">
        <w:rPr>
          <w:rFonts w:asciiTheme="minorHAnsi" w:hAnsiTheme="minorHAnsi" w:cstheme="minorHAnsi"/>
          <w:sz w:val="24"/>
          <w:szCs w:val="24"/>
        </w:rPr>
        <w:t xml:space="preserve">roits </w:t>
      </w:r>
      <w:r w:rsidRPr="00A929CE">
        <w:rPr>
          <w:rFonts w:asciiTheme="minorHAnsi" w:hAnsiTheme="minorHAnsi" w:cstheme="minorHAnsi"/>
          <w:sz w:val="24"/>
          <w:szCs w:val="24"/>
        </w:rPr>
        <w:t>H</w:t>
      </w:r>
      <w:r w:rsidR="000062B1" w:rsidRPr="00A929CE">
        <w:rPr>
          <w:rFonts w:asciiTheme="minorHAnsi" w:hAnsiTheme="minorHAnsi" w:cstheme="minorHAnsi"/>
          <w:sz w:val="24"/>
          <w:szCs w:val="24"/>
        </w:rPr>
        <w:t>umains</w:t>
      </w:r>
      <w:r w:rsidR="00313C7B" w:rsidRPr="00A929CE">
        <w:rPr>
          <w:rFonts w:asciiTheme="minorHAnsi" w:hAnsiTheme="minorHAnsi" w:cstheme="minorHAnsi"/>
          <w:sz w:val="24"/>
          <w:szCs w:val="24"/>
        </w:rPr>
        <w:t xml:space="preserve">(AFDH) </w:t>
      </w:r>
      <w:r w:rsidRPr="00A929CE">
        <w:rPr>
          <w:rFonts w:asciiTheme="minorHAnsi" w:hAnsiTheme="minorHAnsi" w:cstheme="minorHAnsi"/>
          <w:sz w:val="24"/>
          <w:szCs w:val="24"/>
        </w:rPr>
        <w:t>et l’approche genre et pro pauvre dans la PNA_Horizon 2030</w:t>
      </w:r>
      <w:r w:rsidR="005550EC">
        <w:rPr>
          <w:rFonts w:asciiTheme="minorHAnsi" w:hAnsiTheme="minorHAnsi" w:cstheme="minorHAnsi"/>
          <w:sz w:val="24"/>
          <w:szCs w:val="24"/>
        </w:rPr>
        <w:t> ;</w:t>
      </w:r>
    </w:p>
    <w:p w:rsidR="00D861DD" w:rsidRPr="00A929CE" w:rsidRDefault="00D861DD" w:rsidP="00112EE9">
      <w:pPr>
        <w:pStyle w:val="BodyTextind1"/>
        <w:numPr>
          <w:ilvl w:val="0"/>
          <w:numId w:val="43"/>
        </w:numPr>
        <w:spacing w:line="360" w:lineRule="auto"/>
        <w:rPr>
          <w:rFonts w:asciiTheme="minorHAnsi" w:hAnsiTheme="minorHAnsi" w:cstheme="minorHAnsi"/>
          <w:sz w:val="24"/>
          <w:szCs w:val="24"/>
        </w:rPr>
      </w:pPr>
      <w:r w:rsidRPr="00A929CE">
        <w:rPr>
          <w:rFonts w:asciiTheme="minorHAnsi" w:hAnsiTheme="minorHAnsi" w:cstheme="minorHAnsi"/>
          <w:sz w:val="24"/>
          <w:szCs w:val="24"/>
        </w:rPr>
        <w:t>Pour un véritable leadership étatique, revoir fortement à la hausse l’enveloppe budgétaire consacrée à l’assainissement</w:t>
      </w:r>
      <w:r w:rsidR="005550EC">
        <w:rPr>
          <w:rFonts w:asciiTheme="minorHAnsi" w:hAnsiTheme="minorHAnsi" w:cstheme="minorHAnsi"/>
          <w:sz w:val="24"/>
          <w:szCs w:val="24"/>
        </w:rPr>
        <w:t> ;</w:t>
      </w:r>
    </w:p>
    <w:p w:rsidR="00D861DD" w:rsidRPr="00A929CE" w:rsidRDefault="00D861DD" w:rsidP="00112EE9">
      <w:pPr>
        <w:pStyle w:val="BodyTextind1"/>
        <w:numPr>
          <w:ilvl w:val="0"/>
          <w:numId w:val="43"/>
        </w:numPr>
        <w:spacing w:line="360" w:lineRule="auto"/>
        <w:rPr>
          <w:rFonts w:asciiTheme="minorHAnsi" w:hAnsiTheme="minorHAnsi" w:cstheme="minorHAnsi"/>
          <w:sz w:val="24"/>
          <w:szCs w:val="24"/>
        </w:rPr>
      </w:pPr>
      <w:r w:rsidRPr="00A929CE">
        <w:rPr>
          <w:rFonts w:asciiTheme="minorHAnsi" w:hAnsiTheme="minorHAnsi" w:cstheme="minorHAnsi"/>
          <w:sz w:val="24"/>
          <w:szCs w:val="24"/>
        </w:rPr>
        <w:t>Reformuler les objectifs de la PNA_Horizon 2030 pour prendre en compte le contexte actuel et les projections dans le cadre de l’agenda 2030</w:t>
      </w:r>
      <w:r w:rsidR="005550EC">
        <w:rPr>
          <w:rFonts w:asciiTheme="minorHAnsi" w:hAnsiTheme="minorHAnsi" w:cstheme="minorHAnsi"/>
          <w:sz w:val="24"/>
          <w:szCs w:val="24"/>
        </w:rPr>
        <w:t> ;</w:t>
      </w:r>
    </w:p>
    <w:p w:rsidR="00D861DD" w:rsidRPr="00A929CE" w:rsidRDefault="00D861DD" w:rsidP="00A929CE">
      <w:pPr>
        <w:pStyle w:val="BodyTextind1"/>
        <w:numPr>
          <w:ilvl w:val="0"/>
          <w:numId w:val="43"/>
        </w:numPr>
        <w:spacing w:line="360" w:lineRule="auto"/>
        <w:rPr>
          <w:rFonts w:asciiTheme="minorHAnsi" w:hAnsiTheme="minorHAnsi" w:cstheme="minorHAnsi"/>
          <w:sz w:val="24"/>
          <w:szCs w:val="24"/>
        </w:rPr>
      </w:pPr>
      <w:r w:rsidRPr="00A929CE">
        <w:rPr>
          <w:rFonts w:asciiTheme="minorHAnsi" w:hAnsiTheme="minorHAnsi" w:cstheme="minorHAnsi"/>
          <w:sz w:val="24"/>
          <w:szCs w:val="24"/>
        </w:rPr>
        <w:t>Etablir un fort lien entre les ODD et le Objectifs de la nouvelle PNA et ses stratégies sous-sectorielles</w:t>
      </w:r>
      <w:r w:rsidR="005550EC">
        <w:rPr>
          <w:rFonts w:asciiTheme="minorHAnsi" w:hAnsiTheme="minorHAnsi" w:cstheme="minorHAnsi"/>
          <w:sz w:val="24"/>
          <w:szCs w:val="24"/>
        </w:rPr>
        <w:t> ;</w:t>
      </w:r>
    </w:p>
    <w:p w:rsidR="00D861DD" w:rsidRPr="00A929CE" w:rsidRDefault="00D861DD" w:rsidP="00A929CE">
      <w:pPr>
        <w:pStyle w:val="BodyTextind1"/>
        <w:numPr>
          <w:ilvl w:val="0"/>
          <w:numId w:val="43"/>
        </w:numPr>
        <w:spacing w:line="360" w:lineRule="auto"/>
        <w:rPr>
          <w:rFonts w:asciiTheme="minorHAnsi" w:hAnsiTheme="minorHAnsi" w:cstheme="minorHAnsi"/>
          <w:sz w:val="24"/>
          <w:szCs w:val="24"/>
        </w:rPr>
      </w:pPr>
      <w:r w:rsidRPr="00A929CE">
        <w:rPr>
          <w:rFonts w:asciiTheme="minorHAnsi" w:hAnsiTheme="minorHAnsi" w:cstheme="minorHAnsi"/>
          <w:sz w:val="24"/>
          <w:szCs w:val="24"/>
        </w:rPr>
        <w:t>Veiller à ce que l’orientation vers les ODD devient une préoccupation permanente dans la planification et le suivi-évaluation</w:t>
      </w:r>
      <w:r w:rsidR="005550EC">
        <w:rPr>
          <w:rFonts w:asciiTheme="minorHAnsi" w:hAnsiTheme="minorHAnsi" w:cstheme="minorHAnsi"/>
          <w:sz w:val="24"/>
          <w:szCs w:val="24"/>
        </w:rPr>
        <w:t> ;</w:t>
      </w:r>
    </w:p>
    <w:p w:rsidR="00D861DD" w:rsidRPr="00A929CE" w:rsidRDefault="00D861DD" w:rsidP="00A929CE">
      <w:pPr>
        <w:pStyle w:val="BodyTextind1"/>
        <w:numPr>
          <w:ilvl w:val="0"/>
          <w:numId w:val="43"/>
        </w:numPr>
        <w:spacing w:line="360" w:lineRule="auto"/>
        <w:rPr>
          <w:rFonts w:asciiTheme="minorHAnsi" w:hAnsiTheme="minorHAnsi" w:cstheme="minorHAnsi"/>
          <w:sz w:val="24"/>
          <w:szCs w:val="24"/>
        </w:rPr>
      </w:pPr>
      <w:r w:rsidRPr="00A929CE">
        <w:rPr>
          <w:rFonts w:asciiTheme="minorHAnsi" w:hAnsiTheme="minorHAnsi" w:cstheme="minorHAnsi"/>
          <w:sz w:val="24"/>
          <w:szCs w:val="24"/>
        </w:rPr>
        <w:t>Formuler une vision nationale pour l’assainissement</w:t>
      </w:r>
      <w:r w:rsidR="005550EC">
        <w:rPr>
          <w:rFonts w:asciiTheme="minorHAnsi" w:hAnsiTheme="minorHAnsi" w:cstheme="minorHAnsi"/>
          <w:sz w:val="24"/>
          <w:szCs w:val="24"/>
        </w:rPr>
        <w:t> ;</w:t>
      </w:r>
    </w:p>
    <w:p w:rsidR="00D861DD" w:rsidRPr="00A929CE" w:rsidRDefault="00D861DD" w:rsidP="00A929CE">
      <w:pPr>
        <w:pStyle w:val="BodyTextind1"/>
        <w:numPr>
          <w:ilvl w:val="0"/>
          <w:numId w:val="43"/>
        </w:numPr>
        <w:spacing w:line="360" w:lineRule="auto"/>
        <w:rPr>
          <w:rFonts w:asciiTheme="minorHAnsi" w:hAnsiTheme="minorHAnsi" w:cstheme="minorHAnsi"/>
          <w:sz w:val="24"/>
          <w:szCs w:val="24"/>
        </w:rPr>
      </w:pPr>
      <w:r w:rsidRPr="00A929CE">
        <w:rPr>
          <w:rFonts w:asciiTheme="minorHAnsi" w:hAnsiTheme="minorHAnsi" w:cstheme="minorHAnsi"/>
          <w:sz w:val="24"/>
          <w:szCs w:val="24"/>
        </w:rPr>
        <w:t>Assurer un réel leadership de l’ETAT dans le sous-secteur de l’assainissement </w:t>
      </w:r>
      <w:r w:rsidR="00D04B13" w:rsidRPr="00A929CE">
        <w:rPr>
          <w:rFonts w:asciiTheme="minorHAnsi" w:hAnsiTheme="minorHAnsi" w:cstheme="minorHAnsi"/>
          <w:sz w:val="24"/>
          <w:szCs w:val="24"/>
        </w:rPr>
        <w:t>à travers</w:t>
      </w:r>
      <w:r w:rsidR="00755736" w:rsidRPr="00A929CE">
        <w:rPr>
          <w:rFonts w:asciiTheme="minorHAnsi" w:hAnsiTheme="minorHAnsi" w:cstheme="minorHAnsi"/>
          <w:sz w:val="24"/>
          <w:szCs w:val="24"/>
        </w:rPr>
        <w:t xml:space="preserve"> le financement et l’</w:t>
      </w:r>
      <w:r w:rsidR="00D04B13" w:rsidRPr="00A929CE">
        <w:rPr>
          <w:rFonts w:asciiTheme="minorHAnsi" w:hAnsiTheme="minorHAnsi" w:cstheme="minorHAnsi"/>
          <w:sz w:val="24"/>
          <w:szCs w:val="24"/>
        </w:rPr>
        <w:t>opérationnalisation</w:t>
      </w:r>
      <w:r w:rsidR="00755736" w:rsidRPr="00A929CE">
        <w:rPr>
          <w:rFonts w:asciiTheme="minorHAnsi" w:hAnsiTheme="minorHAnsi" w:cstheme="minorHAnsi"/>
          <w:sz w:val="24"/>
          <w:szCs w:val="24"/>
        </w:rPr>
        <w:t xml:space="preserve"> du comité de pilotage</w:t>
      </w:r>
      <w:r w:rsidR="005550EC">
        <w:rPr>
          <w:rFonts w:asciiTheme="minorHAnsi" w:hAnsiTheme="minorHAnsi" w:cstheme="minorHAnsi"/>
          <w:sz w:val="24"/>
          <w:szCs w:val="24"/>
        </w:rPr>
        <w:t> ;</w:t>
      </w:r>
    </w:p>
    <w:p w:rsidR="00D861DD" w:rsidRPr="00A929CE" w:rsidRDefault="009B7FA6" w:rsidP="00A929CE">
      <w:pPr>
        <w:pStyle w:val="BodyTextind1"/>
        <w:numPr>
          <w:ilvl w:val="0"/>
          <w:numId w:val="43"/>
        </w:numPr>
        <w:spacing w:line="360" w:lineRule="auto"/>
        <w:rPr>
          <w:rFonts w:asciiTheme="minorHAnsi" w:hAnsiTheme="minorHAnsi" w:cstheme="minorHAnsi"/>
          <w:sz w:val="24"/>
          <w:szCs w:val="24"/>
        </w:rPr>
      </w:pPr>
      <w:r w:rsidRPr="00A929CE">
        <w:rPr>
          <w:rFonts w:asciiTheme="minorHAnsi" w:hAnsiTheme="minorHAnsi" w:cstheme="minorHAnsi"/>
          <w:sz w:val="24"/>
          <w:szCs w:val="24"/>
        </w:rPr>
        <w:t xml:space="preserve">Faire en sorte </w:t>
      </w:r>
      <w:r w:rsidR="00D861DD" w:rsidRPr="00A929CE">
        <w:rPr>
          <w:rFonts w:asciiTheme="minorHAnsi" w:hAnsiTheme="minorHAnsi" w:cstheme="minorHAnsi"/>
          <w:sz w:val="24"/>
          <w:szCs w:val="24"/>
        </w:rPr>
        <w:t>qu’à l’entame de la formulation de la nouvelle PNA, une entente entre les parties prenantes soit trouvée pour retenir un format du cadre logique/matrice des résultats</w:t>
      </w:r>
      <w:r w:rsidR="005550EC">
        <w:rPr>
          <w:rFonts w:asciiTheme="minorHAnsi" w:hAnsiTheme="minorHAnsi" w:cstheme="minorHAnsi"/>
          <w:sz w:val="24"/>
          <w:szCs w:val="24"/>
        </w:rPr>
        <w:t> ;</w:t>
      </w:r>
    </w:p>
    <w:p w:rsidR="00D861DD" w:rsidRPr="00A929CE" w:rsidRDefault="00D861DD" w:rsidP="00A929CE">
      <w:pPr>
        <w:pStyle w:val="BodyTextind1"/>
        <w:numPr>
          <w:ilvl w:val="0"/>
          <w:numId w:val="43"/>
        </w:numPr>
        <w:tabs>
          <w:tab w:val="left" w:pos="5430"/>
        </w:tabs>
        <w:spacing w:line="360" w:lineRule="auto"/>
        <w:rPr>
          <w:rFonts w:asciiTheme="minorHAnsi" w:hAnsiTheme="minorHAnsi" w:cstheme="minorHAnsi"/>
          <w:sz w:val="24"/>
          <w:szCs w:val="24"/>
        </w:rPr>
      </w:pPr>
      <w:r w:rsidRPr="00A929CE">
        <w:rPr>
          <w:rFonts w:asciiTheme="minorHAnsi" w:hAnsiTheme="minorHAnsi" w:cstheme="minorHAnsi"/>
          <w:sz w:val="24"/>
          <w:szCs w:val="24"/>
        </w:rPr>
        <w:t>Elaborer la structure du manuel de suivi évaluation en tenant compte des différentes initiatives actuelles en cours pour améliorer le système de suivi-évaluation du sous-secteur assainissement</w:t>
      </w:r>
      <w:r w:rsidR="005550EC">
        <w:rPr>
          <w:rFonts w:asciiTheme="minorHAnsi" w:hAnsiTheme="minorHAnsi" w:cstheme="minorHAnsi"/>
          <w:sz w:val="24"/>
          <w:szCs w:val="24"/>
        </w:rPr>
        <w:t>.</w:t>
      </w:r>
    </w:p>
    <w:p w:rsidR="00D861DD" w:rsidRPr="00A929CE" w:rsidRDefault="00D861DD" w:rsidP="00A929CE">
      <w:pPr>
        <w:pStyle w:val="BodyText"/>
        <w:spacing w:line="360" w:lineRule="auto"/>
        <w:rPr>
          <w:rFonts w:asciiTheme="minorHAnsi" w:hAnsiTheme="minorHAnsi" w:cstheme="minorHAnsi"/>
          <w:sz w:val="24"/>
          <w:szCs w:val="24"/>
        </w:rPr>
      </w:pPr>
    </w:p>
    <w:p w:rsidR="00D861DD" w:rsidRPr="00A929CE" w:rsidRDefault="00D861DD" w:rsidP="00A929CE">
      <w:pPr>
        <w:pStyle w:val="BodyText"/>
        <w:spacing w:line="360" w:lineRule="auto"/>
        <w:rPr>
          <w:rFonts w:asciiTheme="minorHAnsi" w:hAnsiTheme="minorHAnsi" w:cstheme="minorHAnsi"/>
          <w:sz w:val="24"/>
          <w:szCs w:val="24"/>
        </w:rPr>
      </w:pPr>
    </w:p>
    <w:p w:rsidR="00FD352F" w:rsidRPr="00A929CE" w:rsidRDefault="00FD352F" w:rsidP="00A929CE">
      <w:pPr>
        <w:pStyle w:val="Corpsdetexte"/>
        <w:spacing w:line="360" w:lineRule="auto"/>
        <w:rPr>
          <w:rFonts w:asciiTheme="minorHAnsi" w:hAnsiTheme="minorHAnsi"/>
          <w:szCs w:val="24"/>
          <w:lang w:eastAsia="de-DE"/>
        </w:rPr>
        <w:sectPr w:rsidR="00FD352F" w:rsidRPr="00A929CE" w:rsidSect="003154FC">
          <w:pgSz w:w="11906" w:h="16838"/>
          <w:pgMar w:top="1417" w:right="1417" w:bottom="1417" w:left="1417" w:header="708" w:footer="708" w:gutter="0"/>
          <w:cols w:space="708"/>
          <w:docGrid w:linePitch="360"/>
        </w:sectPr>
      </w:pPr>
    </w:p>
    <w:p w:rsidR="00647D81" w:rsidRPr="00A929CE" w:rsidRDefault="00647D81" w:rsidP="00A929CE">
      <w:pPr>
        <w:pStyle w:val="Titre1"/>
        <w:numPr>
          <w:ilvl w:val="0"/>
          <w:numId w:val="0"/>
        </w:numPr>
        <w:spacing w:line="360" w:lineRule="auto"/>
        <w:ind w:left="432"/>
        <w:jc w:val="both"/>
        <w:rPr>
          <w:rFonts w:asciiTheme="minorHAnsi" w:hAnsiTheme="minorHAnsi" w:cstheme="minorHAnsi"/>
          <w:sz w:val="24"/>
          <w:szCs w:val="24"/>
        </w:rPr>
      </w:pPr>
    </w:p>
    <w:p w:rsidR="00647D81" w:rsidRPr="00A929CE" w:rsidRDefault="0075093A" w:rsidP="00A929CE">
      <w:pPr>
        <w:pStyle w:val="Titre1"/>
        <w:spacing w:line="360" w:lineRule="auto"/>
        <w:jc w:val="both"/>
        <w:rPr>
          <w:rFonts w:asciiTheme="minorHAnsi" w:hAnsiTheme="minorHAnsi" w:cstheme="minorHAnsi"/>
          <w:sz w:val="24"/>
          <w:szCs w:val="24"/>
        </w:rPr>
      </w:pPr>
      <w:bookmarkStart w:id="22" w:name="_Toc536448580"/>
      <w:r w:rsidRPr="00A929CE">
        <w:rPr>
          <w:rFonts w:asciiTheme="minorHAnsi" w:hAnsiTheme="minorHAnsi" w:cstheme="minorHAnsi"/>
          <w:sz w:val="24"/>
          <w:szCs w:val="24"/>
        </w:rPr>
        <w:t>INTRODUCTION</w:t>
      </w:r>
      <w:bookmarkEnd w:id="22"/>
    </w:p>
    <w:p w:rsidR="00A94C44" w:rsidRPr="00A929CE" w:rsidRDefault="00A94C44" w:rsidP="00A929CE">
      <w:pPr>
        <w:pStyle w:val="BodyText"/>
        <w:spacing w:line="360" w:lineRule="auto"/>
        <w:rPr>
          <w:rFonts w:asciiTheme="minorHAnsi" w:hAnsiTheme="minorHAnsi" w:cstheme="minorHAnsi"/>
          <w:sz w:val="24"/>
          <w:szCs w:val="24"/>
        </w:rPr>
      </w:pPr>
      <w:r w:rsidRPr="00A929CE">
        <w:rPr>
          <w:rFonts w:asciiTheme="minorHAnsi" w:hAnsiTheme="minorHAnsi" w:cstheme="minorHAnsi"/>
          <w:sz w:val="24"/>
          <w:szCs w:val="24"/>
        </w:rPr>
        <w:t xml:space="preserve">La relecture de la PNA </w:t>
      </w:r>
      <w:r w:rsidR="00A726EC" w:rsidRPr="00A929CE">
        <w:rPr>
          <w:rFonts w:asciiTheme="minorHAnsi" w:hAnsiTheme="minorHAnsi" w:cstheme="minorHAnsi"/>
          <w:sz w:val="24"/>
          <w:szCs w:val="24"/>
        </w:rPr>
        <w:t xml:space="preserve">actuelle, </w:t>
      </w:r>
      <w:r w:rsidRPr="00A929CE">
        <w:rPr>
          <w:rFonts w:asciiTheme="minorHAnsi" w:hAnsiTheme="minorHAnsi" w:cstheme="minorHAnsi"/>
          <w:sz w:val="24"/>
          <w:szCs w:val="24"/>
        </w:rPr>
        <w:t xml:space="preserve">pour </w:t>
      </w:r>
      <w:r w:rsidR="00E75ACB" w:rsidRPr="00A929CE">
        <w:rPr>
          <w:rFonts w:asciiTheme="minorHAnsi" w:hAnsiTheme="minorHAnsi" w:cstheme="minorHAnsi"/>
          <w:sz w:val="24"/>
          <w:szCs w:val="24"/>
        </w:rPr>
        <w:t xml:space="preserve">la porter à </w:t>
      </w:r>
      <w:r w:rsidRPr="00A929CE">
        <w:rPr>
          <w:rFonts w:asciiTheme="minorHAnsi" w:hAnsiTheme="minorHAnsi" w:cstheme="minorHAnsi"/>
          <w:sz w:val="24"/>
          <w:szCs w:val="24"/>
        </w:rPr>
        <w:t>l’horizon 2030 passe d’abord par</w:t>
      </w:r>
      <w:r w:rsidR="007C675C" w:rsidRPr="00A929CE">
        <w:rPr>
          <w:rFonts w:asciiTheme="minorHAnsi" w:hAnsiTheme="minorHAnsi" w:cstheme="minorHAnsi"/>
          <w:sz w:val="24"/>
          <w:szCs w:val="24"/>
        </w:rPr>
        <w:t xml:space="preserve"> un diagnostic du </w:t>
      </w:r>
      <w:r w:rsidR="00FE471C">
        <w:rPr>
          <w:rFonts w:asciiTheme="minorHAnsi" w:hAnsiTheme="minorHAnsi" w:cstheme="minorHAnsi"/>
          <w:sz w:val="24"/>
          <w:szCs w:val="24"/>
        </w:rPr>
        <w:t>sous-</w:t>
      </w:r>
      <w:r w:rsidR="007C675C" w:rsidRPr="00A929CE">
        <w:rPr>
          <w:rFonts w:asciiTheme="minorHAnsi" w:hAnsiTheme="minorHAnsi" w:cstheme="minorHAnsi"/>
          <w:sz w:val="24"/>
          <w:szCs w:val="24"/>
        </w:rPr>
        <w:t xml:space="preserve">secteur de l’’assainissement et une </w:t>
      </w:r>
      <w:r w:rsidRPr="00A929CE">
        <w:rPr>
          <w:rFonts w:asciiTheme="minorHAnsi" w:hAnsiTheme="minorHAnsi" w:cstheme="minorHAnsi"/>
          <w:sz w:val="24"/>
          <w:szCs w:val="24"/>
        </w:rPr>
        <w:t xml:space="preserve">appréciation de </w:t>
      </w:r>
      <w:r w:rsidR="007C675C" w:rsidRPr="00A929CE">
        <w:rPr>
          <w:rFonts w:asciiTheme="minorHAnsi" w:hAnsiTheme="minorHAnsi" w:cstheme="minorHAnsi"/>
          <w:sz w:val="24"/>
          <w:szCs w:val="24"/>
        </w:rPr>
        <w:t xml:space="preserve">la </w:t>
      </w:r>
      <w:r w:rsidRPr="00A929CE">
        <w:rPr>
          <w:rFonts w:asciiTheme="minorHAnsi" w:hAnsiTheme="minorHAnsi" w:cstheme="minorHAnsi"/>
          <w:sz w:val="24"/>
          <w:szCs w:val="24"/>
        </w:rPr>
        <w:t>mise en œuvre</w:t>
      </w:r>
      <w:r w:rsidR="007C675C" w:rsidRPr="00A929CE">
        <w:rPr>
          <w:rFonts w:asciiTheme="minorHAnsi" w:hAnsiTheme="minorHAnsi" w:cstheme="minorHAnsi"/>
          <w:sz w:val="24"/>
          <w:szCs w:val="24"/>
        </w:rPr>
        <w:t xml:space="preserve"> de la</w:t>
      </w:r>
      <w:r w:rsidR="00FE471C">
        <w:rPr>
          <w:rFonts w:asciiTheme="minorHAnsi" w:hAnsiTheme="minorHAnsi" w:cstheme="minorHAnsi"/>
          <w:sz w:val="24"/>
          <w:szCs w:val="24"/>
        </w:rPr>
        <w:t>dite politique</w:t>
      </w:r>
      <w:r w:rsidRPr="00A929CE">
        <w:rPr>
          <w:rFonts w:asciiTheme="minorHAnsi" w:hAnsiTheme="minorHAnsi" w:cstheme="minorHAnsi"/>
          <w:sz w:val="24"/>
          <w:szCs w:val="24"/>
        </w:rPr>
        <w:t xml:space="preserve"> et celle de</w:t>
      </w:r>
      <w:r w:rsidR="002C34D3">
        <w:rPr>
          <w:rFonts w:asciiTheme="minorHAnsi" w:hAnsiTheme="minorHAnsi" w:cstheme="minorHAnsi"/>
          <w:sz w:val="24"/>
          <w:szCs w:val="24"/>
        </w:rPr>
        <w:t xml:space="preserve"> </w:t>
      </w:r>
      <w:r w:rsidRPr="00A929CE">
        <w:rPr>
          <w:rFonts w:asciiTheme="minorHAnsi" w:hAnsiTheme="minorHAnsi" w:cstheme="minorHAnsi"/>
          <w:sz w:val="24"/>
          <w:szCs w:val="24"/>
        </w:rPr>
        <w:t>s</w:t>
      </w:r>
      <w:r w:rsidR="007C675C" w:rsidRPr="00A929CE">
        <w:rPr>
          <w:rFonts w:asciiTheme="minorHAnsi" w:hAnsiTheme="minorHAnsi" w:cstheme="minorHAnsi"/>
          <w:sz w:val="24"/>
          <w:szCs w:val="24"/>
        </w:rPr>
        <w:t>es</w:t>
      </w:r>
      <w:r w:rsidRPr="00A929CE">
        <w:rPr>
          <w:rFonts w:asciiTheme="minorHAnsi" w:hAnsiTheme="minorHAnsi" w:cstheme="minorHAnsi"/>
          <w:sz w:val="24"/>
          <w:szCs w:val="24"/>
        </w:rPr>
        <w:t xml:space="preserve"> stratégies sous-sectorielles. Le présent rapport rend compte d</w:t>
      </w:r>
      <w:r w:rsidR="00945836" w:rsidRPr="00A929CE">
        <w:rPr>
          <w:rFonts w:asciiTheme="minorHAnsi" w:hAnsiTheme="minorHAnsi" w:cstheme="minorHAnsi"/>
          <w:sz w:val="24"/>
          <w:szCs w:val="24"/>
        </w:rPr>
        <w:t xml:space="preserve">es résultats des investigations, consultations et des analyses pour </w:t>
      </w:r>
      <w:r w:rsidR="007C675C" w:rsidRPr="00A929CE">
        <w:rPr>
          <w:rFonts w:asciiTheme="minorHAnsi" w:hAnsiTheme="minorHAnsi" w:cstheme="minorHAnsi"/>
          <w:sz w:val="24"/>
          <w:szCs w:val="24"/>
        </w:rPr>
        <w:t xml:space="preserve">d’abord poser le diagnostic </w:t>
      </w:r>
      <w:r w:rsidR="00FE471C">
        <w:rPr>
          <w:rFonts w:asciiTheme="minorHAnsi" w:hAnsiTheme="minorHAnsi" w:cstheme="minorHAnsi"/>
          <w:sz w:val="24"/>
          <w:szCs w:val="24"/>
        </w:rPr>
        <w:t xml:space="preserve">de la situation de </w:t>
      </w:r>
      <w:r w:rsidR="007C675C" w:rsidRPr="00A929CE">
        <w:rPr>
          <w:rFonts w:asciiTheme="minorHAnsi" w:hAnsiTheme="minorHAnsi" w:cstheme="minorHAnsi"/>
          <w:sz w:val="24"/>
          <w:szCs w:val="24"/>
        </w:rPr>
        <w:t xml:space="preserve"> l’assainissement et </w:t>
      </w:r>
      <w:r w:rsidR="00945836" w:rsidRPr="00A929CE">
        <w:rPr>
          <w:rFonts w:asciiTheme="minorHAnsi" w:hAnsiTheme="minorHAnsi" w:cstheme="minorHAnsi"/>
          <w:sz w:val="24"/>
          <w:szCs w:val="24"/>
        </w:rPr>
        <w:t xml:space="preserve">apprécier </w:t>
      </w:r>
      <w:r w:rsidR="007C675C" w:rsidRPr="00A929CE">
        <w:rPr>
          <w:rFonts w:asciiTheme="minorHAnsi" w:hAnsiTheme="minorHAnsi" w:cstheme="minorHAnsi"/>
          <w:sz w:val="24"/>
          <w:szCs w:val="24"/>
        </w:rPr>
        <w:t xml:space="preserve">le niveau de </w:t>
      </w:r>
      <w:r w:rsidR="00945836" w:rsidRPr="00A929CE">
        <w:rPr>
          <w:rFonts w:asciiTheme="minorHAnsi" w:hAnsiTheme="minorHAnsi" w:cstheme="minorHAnsi"/>
          <w:sz w:val="24"/>
          <w:szCs w:val="24"/>
        </w:rPr>
        <w:t xml:space="preserve">mise en œuvre </w:t>
      </w:r>
      <w:r w:rsidR="007C675C" w:rsidRPr="00A929CE">
        <w:rPr>
          <w:rFonts w:asciiTheme="minorHAnsi" w:hAnsiTheme="minorHAnsi" w:cstheme="minorHAnsi"/>
          <w:sz w:val="24"/>
          <w:szCs w:val="24"/>
        </w:rPr>
        <w:t xml:space="preserve">de l’actuelle PNA afin de tirer des leçons à considérer </w:t>
      </w:r>
      <w:r w:rsidR="00945836" w:rsidRPr="00A929CE">
        <w:rPr>
          <w:rFonts w:asciiTheme="minorHAnsi" w:hAnsiTheme="minorHAnsi" w:cstheme="minorHAnsi"/>
          <w:sz w:val="24"/>
          <w:szCs w:val="24"/>
        </w:rPr>
        <w:t>dans la formulation de la</w:t>
      </w:r>
      <w:r w:rsidR="00F468AB" w:rsidRPr="00A929CE">
        <w:rPr>
          <w:rFonts w:asciiTheme="minorHAnsi" w:hAnsiTheme="minorHAnsi" w:cstheme="minorHAnsi"/>
          <w:sz w:val="24"/>
          <w:szCs w:val="24"/>
        </w:rPr>
        <w:t xml:space="preserve"> nouvelle</w:t>
      </w:r>
      <w:r w:rsidR="00945836" w:rsidRPr="00A929CE">
        <w:rPr>
          <w:rFonts w:asciiTheme="minorHAnsi" w:hAnsiTheme="minorHAnsi" w:cstheme="minorHAnsi"/>
          <w:sz w:val="24"/>
          <w:szCs w:val="24"/>
        </w:rPr>
        <w:t xml:space="preserve"> Politique Nationale d’Assainissement à l’horizon 2030. La </w:t>
      </w:r>
      <w:r w:rsidRPr="00A929CE">
        <w:rPr>
          <w:rFonts w:asciiTheme="minorHAnsi" w:hAnsiTheme="minorHAnsi" w:cstheme="minorHAnsi"/>
          <w:sz w:val="24"/>
          <w:szCs w:val="24"/>
        </w:rPr>
        <w:t xml:space="preserve">méthodologie </w:t>
      </w:r>
      <w:r w:rsidR="00945836" w:rsidRPr="00A929CE">
        <w:rPr>
          <w:rFonts w:asciiTheme="minorHAnsi" w:hAnsiTheme="minorHAnsi" w:cstheme="minorHAnsi"/>
          <w:sz w:val="24"/>
          <w:szCs w:val="24"/>
        </w:rPr>
        <w:t>du présent diagnostic</w:t>
      </w:r>
      <w:r w:rsidR="00F468AB" w:rsidRPr="00A929CE">
        <w:rPr>
          <w:rFonts w:asciiTheme="minorHAnsi" w:hAnsiTheme="minorHAnsi" w:cstheme="minorHAnsi"/>
          <w:sz w:val="24"/>
          <w:szCs w:val="24"/>
        </w:rPr>
        <w:t xml:space="preserve">/évaluation </w:t>
      </w:r>
      <w:r w:rsidRPr="00A929CE">
        <w:rPr>
          <w:rFonts w:asciiTheme="minorHAnsi" w:hAnsiTheme="minorHAnsi" w:cstheme="minorHAnsi"/>
          <w:sz w:val="24"/>
          <w:szCs w:val="24"/>
        </w:rPr>
        <w:t>s’est surtout focalisé</w:t>
      </w:r>
      <w:r w:rsidR="00F468AB" w:rsidRPr="00A929CE">
        <w:rPr>
          <w:rFonts w:asciiTheme="minorHAnsi" w:hAnsiTheme="minorHAnsi" w:cstheme="minorHAnsi"/>
          <w:sz w:val="24"/>
          <w:szCs w:val="24"/>
        </w:rPr>
        <w:t>e</w:t>
      </w:r>
      <w:r w:rsidRPr="00A929CE">
        <w:rPr>
          <w:rFonts w:asciiTheme="minorHAnsi" w:hAnsiTheme="minorHAnsi" w:cstheme="minorHAnsi"/>
          <w:sz w:val="24"/>
          <w:szCs w:val="24"/>
        </w:rPr>
        <w:t xml:space="preserve"> sur l’analyse des documents disponibles</w:t>
      </w:r>
      <w:r w:rsidR="00FE471C">
        <w:rPr>
          <w:rFonts w:asciiTheme="minorHAnsi" w:hAnsiTheme="minorHAnsi" w:cstheme="minorHAnsi"/>
          <w:sz w:val="24"/>
          <w:szCs w:val="24"/>
        </w:rPr>
        <w:t>,</w:t>
      </w:r>
      <w:r w:rsidRPr="00A929CE">
        <w:rPr>
          <w:rFonts w:asciiTheme="minorHAnsi" w:hAnsiTheme="minorHAnsi" w:cstheme="minorHAnsi"/>
          <w:sz w:val="24"/>
          <w:szCs w:val="24"/>
        </w:rPr>
        <w:t xml:space="preserve"> et des entretiens avec des </w:t>
      </w:r>
      <w:r w:rsidR="00945836" w:rsidRPr="00A929CE">
        <w:rPr>
          <w:rFonts w:asciiTheme="minorHAnsi" w:hAnsiTheme="minorHAnsi" w:cstheme="minorHAnsi"/>
          <w:sz w:val="24"/>
          <w:szCs w:val="24"/>
        </w:rPr>
        <w:t xml:space="preserve">acteurs clés du </w:t>
      </w:r>
      <w:r w:rsidR="00124133" w:rsidRPr="00A929CE">
        <w:rPr>
          <w:rFonts w:asciiTheme="minorHAnsi" w:hAnsiTheme="minorHAnsi" w:cstheme="minorHAnsi"/>
          <w:sz w:val="24"/>
          <w:szCs w:val="24"/>
        </w:rPr>
        <w:t>sous-secteur</w:t>
      </w:r>
      <w:r w:rsidR="00945836" w:rsidRPr="00A929CE">
        <w:rPr>
          <w:rFonts w:asciiTheme="minorHAnsi" w:hAnsiTheme="minorHAnsi" w:cstheme="minorHAnsi"/>
          <w:sz w:val="24"/>
          <w:szCs w:val="24"/>
        </w:rPr>
        <w:t xml:space="preserve"> de l’assainissement</w:t>
      </w:r>
      <w:r w:rsidR="00124133" w:rsidRPr="00A929CE">
        <w:rPr>
          <w:rFonts w:asciiTheme="minorHAnsi" w:hAnsiTheme="minorHAnsi" w:cstheme="minorHAnsi"/>
          <w:sz w:val="24"/>
          <w:szCs w:val="24"/>
        </w:rPr>
        <w:t xml:space="preserve">. On peut citer entre autres, </w:t>
      </w:r>
      <w:r w:rsidR="008D3391" w:rsidRPr="00A929CE">
        <w:rPr>
          <w:rFonts w:asciiTheme="minorHAnsi" w:hAnsiTheme="minorHAnsi" w:cstheme="minorHAnsi"/>
          <w:sz w:val="24"/>
          <w:szCs w:val="24"/>
        </w:rPr>
        <w:t xml:space="preserve">les </w:t>
      </w:r>
      <w:r w:rsidRPr="00A929CE">
        <w:rPr>
          <w:rFonts w:asciiTheme="minorHAnsi" w:hAnsiTheme="minorHAnsi" w:cstheme="minorHAnsi"/>
          <w:sz w:val="24"/>
          <w:szCs w:val="24"/>
        </w:rPr>
        <w:t xml:space="preserve">personnes ressources relevant du Ministère de </w:t>
      </w:r>
      <w:r w:rsidR="00124133" w:rsidRPr="00A929CE">
        <w:rPr>
          <w:rFonts w:asciiTheme="minorHAnsi" w:hAnsiTheme="minorHAnsi" w:cstheme="minorHAnsi"/>
          <w:sz w:val="24"/>
          <w:szCs w:val="24"/>
        </w:rPr>
        <w:t>l’environnement</w:t>
      </w:r>
      <w:r w:rsidRPr="00A929CE">
        <w:rPr>
          <w:rFonts w:asciiTheme="minorHAnsi" w:hAnsiTheme="minorHAnsi" w:cstheme="minorHAnsi"/>
          <w:sz w:val="24"/>
          <w:szCs w:val="24"/>
        </w:rPr>
        <w:t xml:space="preserve">, de l’Assainissement et du Développement Durable, </w:t>
      </w:r>
      <w:r w:rsidR="008D3391" w:rsidRPr="00A929CE">
        <w:rPr>
          <w:rFonts w:asciiTheme="minorHAnsi" w:hAnsiTheme="minorHAnsi" w:cstheme="minorHAnsi"/>
          <w:sz w:val="24"/>
          <w:szCs w:val="24"/>
        </w:rPr>
        <w:t xml:space="preserve">de la </w:t>
      </w:r>
      <w:r w:rsidRPr="00A929CE">
        <w:rPr>
          <w:rFonts w:asciiTheme="minorHAnsi" w:hAnsiTheme="minorHAnsi" w:cstheme="minorHAnsi"/>
          <w:sz w:val="24"/>
          <w:szCs w:val="24"/>
        </w:rPr>
        <w:t>Direction Nationale de l</w:t>
      </w:r>
      <w:r w:rsidR="00124133" w:rsidRPr="00A929CE">
        <w:rPr>
          <w:rFonts w:asciiTheme="minorHAnsi" w:hAnsiTheme="minorHAnsi" w:cstheme="minorHAnsi"/>
          <w:sz w:val="24"/>
          <w:szCs w:val="24"/>
        </w:rPr>
        <w:t>’</w:t>
      </w:r>
      <w:r w:rsidR="00FE471C">
        <w:rPr>
          <w:rFonts w:asciiTheme="minorHAnsi" w:hAnsiTheme="minorHAnsi" w:cstheme="minorHAnsi"/>
          <w:sz w:val="24"/>
          <w:szCs w:val="24"/>
        </w:rPr>
        <w:t>A</w:t>
      </w:r>
      <w:r w:rsidR="00124133" w:rsidRPr="00A929CE">
        <w:rPr>
          <w:rFonts w:asciiTheme="minorHAnsi" w:hAnsiTheme="minorHAnsi" w:cstheme="minorHAnsi"/>
          <w:sz w:val="24"/>
          <w:szCs w:val="24"/>
        </w:rPr>
        <w:t xml:space="preserve">ssainissement, du </w:t>
      </w:r>
      <w:r w:rsidR="00FE471C">
        <w:rPr>
          <w:rFonts w:asciiTheme="minorHAnsi" w:hAnsiTheme="minorHAnsi" w:cstheme="minorHAnsi"/>
          <w:sz w:val="24"/>
          <w:szCs w:val="24"/>
        </w:rPr>
        <w:t>C</w:t>
      </w:r>
      <w:r w:rsidR="00124133" w:rsidRPr="00A929CE">
        <w:rPr>
          <w:rFonts w:asciiTheme="minorHAnsi" w:hAnsiTheme="minorHAnsi" w:cstheme="minorHAnsi"/>
          <w:sz w:val="24"/>
          <w:szCs w:val="24"/>
        </w:rPr>
        <w:t xml:space="preserve">ontrôle des Pollutions et Nuisances (DNACPN), </w:t>
      </w:r>
      <w:r w:rsidR="008D3391" w:rsidRPr="00A929CE">
        <w:rPr>
          <w:rFonts w:asciiTheme="minorHAnsi" w:hAnsiTheme="minorHAnsi" w:cstheme="minorHAnsi"/>
          <w:sz w:val="24"/>
          <w:szCs w:val="24"/>
        </w:rPr>
        <w:t>de l’</w:t>
      </w:r>
      <w:r w:rsidR="00124133" w:rsidRPr="00A929CE">
        <w:rPr>
          <w:rFonts w:asciiTheme="minorHAnsi" w:hAnsiTheme="minorHAnsi" w:cstheme="minorHAnsi"/>
          <w:sz w:val="24"/>
          <w:szCs w:val="24"/>
        </w:rPr>
        <w:t xml:space="preserve">UNICEF, </w:t>
      </w:r>
      <w:r w:rsidR="008D3391" w:rsidRPr="00A929CE">
        <w:rPr>
          <w:rFonts w:asciiTheme="minorHAnsi" w:hAnsiTheme="minorHAnsi" w:cstheme="minorHAnsi"/>
          <w:sz w:val="24"/>
          <w:szCs w:val="24"/>
        </w:rPr>
        <w:t xml:space="preserve">de </w:t>
      </w:r>
      <w:r w:rsidR="00124133" w:rsidRPr="00A929CE">
        <w:rPr>
          <w:rFonts w:asciiTheme="minorHAnsi" w:hAnsiTheme="minorHAnsi" w:cstheme="minorHAnsi"/>
          <w:sz w:val="24"/>
          <w:szCs w:val="24"/>
        </w:rPr>
        <w:t>WATERAID</w:t>
      </w:r>
      <w:r w:rsidR="008D3391" w:rsidRPr="00A929CE">
        <w:rPr>
          <w:rFonts w:asciiTheme="minorHAnsi" w:hAnsiTheme="minorHAnsi" w:cstheme="minorHAnsi"/>
          <w:sz w:val="24"/>
          <w:szCs w:val="24"/>
        </w:rPr>
        <w:t xml:space="preserve">, de la GIZ-PEPA </w:t>
      </w:r>
      <w:r w:rsidR="00124133" w:rsidRPr="00A929CE">
        <w:rPr>
          <w:rFonts w:asciiTheme="minorHAnsi" w:hAnsiTheme="minorHAnsi" w:cstheme="minorHAnsi"/>
          <w:sz w:val="24"/>
          <w:szCs w:val="24"/>
        </w:rPr>
        <w:t xml:space="preserve">et </w:t>
      </w:r>
      <w:r w:rsidRPr="00A929CE">
        <w:rPr>
          <w:rFonts w:asciiTheme="minorHAnsi" w:hAnsiTheme="minorHAnsi" w:cstheme="minorHAnsi"/>
          <w:sz w:val="24"/>
          <w:szCs w:val="24"/>
        </w:rPr>
        <w:t xml:space="preserve">des acteurs de la société civile </w:t>
      </w:r>
      <w:r w:rsidR="00FE471C">
        <w:rPr>
          <w:rFonts w:asciiTheme="minorHAnsi" w:hAnsiTheme="minorHAnsi" w:cstheme="minorHAnsi"/>
          <w:sz w:val="24"/>
          <w:szCs w:val="24"/>
        </w:rPr>
        <w:t>(ONG et associations)</w:t>
      </w:r>
      <w:r w:rsidRPr="00A929CE">
        <w:rPr>
          <w:rFonts w:asciiTheme="minorHAnsi" w:hAnsiTheme="minorHAnsi" w:cstheme="minorHAnsi"/>
          <w:sz w:val="24"/>
          <w:szCs w:val="24"/>
        </w:rPr>
        <w:t>.</w:t>
      </w:r>
      <w:r w:rsidR="00F468AB" w:rsidRPr="00A929CE">
        <w:rPr>
          <w:rFonts w:asciiTheme="minorHAnsi" w:hAnsiTheme="minorHAnsi" w:cstheme="minorHAnsi"/>
          <w:sz w:val="24"/>
          <w:szCs w:val="24"/>
        </w:rPr>
        <w:t xml:space="preserve"> Le document se décline en deux principaux chapitres. Un premier chapitre qui dresse un diagnostic du </w:t>
      </w:r>
      <w:r w:rsidR="00FE471C">
        <w:rPr>
          <w:rFonts w:asciiTheme="minorHAnsi" w:hAnsiTheme="minorHAnsi" w:cstheme="minorHAnsi"/>
          <w:sz w:val="24"/>
          <w:szCs w:val="24"/>
        </w:rPr>
        <w:t>sous-</w:t>
      </w:r>
      <w:r w:rsidR="00F468AB" w:rsidRPr="00A929CE">
        <w:rPr>
          <w:rFonts w:asciiTheme="minorHAnsi" w:hAnsiTheme="minorHAnsi" w:cstheme="minorHAnsi"/>
          <w:sz w:val="24"/>
          <w:szCs w:val="24"/>
        </w:rPr>
        <w:t>secteur de l’assainissement au Mali et un deuxième chapitre qui fait l’</w:t>
      </w:r>
      <w:r w:rsidR="00BA0AF1" w:rsidRPr="00A929CE">
        <w:rPr>
          <w:rFonts w:asciiTheme="minorHAnsi" w:hAnsiTheme="minorHAnsi" w:cstheme="minorHAnsi"/>
          <w:sz w:val="24"/>
          <w:szCs w:val="24"/>
        </w:rPr>
        <w:t>évaluation</w:t>
      </w:r>
      <w:r w:rsidR="00F468AB" w:rsidRPr="00A929CE">
        <w:rPr>
          <w:rFonts w:asciiTheme="minorHAnsi" w:hAnsiTheme="minorHAnsi" w:cstheme="minorHAnsi"/>
          <w:sz w:val="24"/>
          <w:szCs w:val="24"/>
        </w:rPr>
        <w:t xml:space="preserve"> de la mise en œuvre de l’actuelle PNA. Une conclusion générale et des recommandations sont formulées pour servir de leçons à prendre en compte dans l’élaboration du nouveau document</w:t>
      </w:r>
      <w:r w:rsidR="00FE471C">
        <w:rPr>
          <w:rFonts w:asciiTheme="minorHAnsi" w:hAnsiTheme="minorHAnsi" w:cstheme="minorHAnsi"/>
          <w:sz w:val="24"/>
          <w:szCs w:val="24"/>
        </w:rPr>
        <w:t xml:space="preserve"> de politique</w:t>
      </w:r>
      <w:r w:rsidR="00F468AB" w:rsidRPr="00A929CE">
        <w:rPr>
          <w:rFonts w:asciiTheme="minorHAnsi" w:hAnsiTheme="minorHAnsi" w:cstheme="minorHAnsi"/>
          <w:sz w:val="24"/>
          <w:szCs w:val="24"/>
        </w:rPr>
        <w:t>.</w:t>
      </w:r>
    </w:p>
    <w:p w:rsidR="00A94C44" w:rsidRPr="00A929CE" w:rsidRDefault="00A94C44" w:rsidP="00A929CE">
      <w:pPr>
        <w:pStyle w:val="BodyText"/>
        <w:spacing w:line="360" w:lineRule="auto"/>
        <w:rPr>
          <w:rFonts w:asciiTheme="minorHAnsi" w:hAnsiTheme="minorHAnsi" w:cstheme="minorHAnsi"/>
          <w:sz w:val="24"/>
          <w:szCs w:val="24"/>
          <w:highlight w:val="yellow"/>
        </w:rPr>
      </w:pPr>
    </w:p>
    <w:p w:rsidR="00A94C44" w:rsidRPr="00A929CE" w:rsidRDefault="00A94C44" w:rsidP="00A929CE">
      <w:pPr>
        <w:pStyle w:val="BodyText"/>
        <w:spacing w:line="360" w:lineRule="auto"/>
        <w:rPr>
          <w:rFonts w:asciiTheme="minorHAnsi" w:hAnsiTheme="minorHAnsi" w:cstheme="minorHAnsi"/>
          <w:sz w:val="24"/>
          <w:szCs w:val="24"/>
          <w:highlight w:val="yellow"/>
        </w:rPr>
      </w:pPr>
    </w:p>
    <w:p w:rsidR="00BA0AF1" w:rsidRPr="00A929CE" w:rsidRDefault="00BA0AF1" w:rsidP="00A929CE">
      <w:pPr>
        <w:pStyle w:val="Titre1"/>
        <w:pageBreakBefore/>
        <w:spacing w:line="360" w:lineRule="auto"/>
        <w:ind w:left="1134" w:hanging="1134"/>
        <w:jc w:val="both"/>
        <w:rPr>
          <w:rFonts w:asciiTheme="minorHAnsi" w:hAnsiTheme="minorHAnsi" w:cstheme="minorHAnsi"/>
          <w:sz w:val="24"/>
          <w:szCs w:val="24"/>
        </w:rPr>
      </w:pPr>
      <w:bookmarkStart w:id="23" w:name="_Toc536448581"/>
      <w:r w:rsidRPr="00A929CE">
        <w:rPr>
          <w:rFonts w:asciiTheme="minorHAnsi" w:hAnsiTheme="minorHAnsi" w:cstheme="minorHAnsi"/>
          <w:sz w:val="24"/>
          <w:szCs w:val="24"/>
        </w:rPr>
        <w:t>METHODOLOGIE ET DEROULEMENT DE LA MISSION DE DIAGNOSTIC DE LA POLITIQUE NATIONALE D’ASSAINISSEMENT (PNA)</w:t>
      </w:r>
      <w:bookmarkEnd w:id="23"/>
    </w:p>
    <w:p w:rsidR="00BA0AF1" w:rsidRPr="00A929CE" w:rsidRDefault="00BA0AF1" w:rsidP="00A929CE">
      <w:pPr>
        <w:pStyle w:val="Titre2"/>
        <w:spacing w:line="360" w:lineRule="auto"/>
        <w:rPr>
          <w:rFonts w:asciiTheme="minorHAnsi" w:hAnsiTheme="minorHAnsi"/>
          <w:szCs w:val="24"/>
          <w:lang w:eastAsia="en-GB"/>
        </w:rPr>
      </w:pPr>
      <w:bookmarkStart w:id="24" w:name="_Toc536448582"/>
      <w:r w:rsidRPr="00A929CE">
        <w:rPr>
          <w:rFonts w:asciiTheme="minorHAnsi" w:hAnsiTheme="minorHAnsi"/>
          <w:szCs w:val="24"/>
          <w:lang w:eastAsia="en-GB"/>
        </w:rPr>
        <w:t>Objectif du diagnostic et de l’évaluation</w:t>
      </w:r>
      <w:bookmarkEnd w:id="24"/>
    </w:p>
    <w:p w:rsidR="00BA0AF1" w:rsidRPr="00A929CE" w:rsidRDefault="00BA0AF1" w:rsidP="00A929CE">
      <w:pPr>
        <w:spacing w:line="360" w:lineRule="auto"/>
        <w:jc w:val="both"/>
        <w:rPr>
          <w:rFonts w:asciiTheme="minorHAnsi" w:hAnsiTheme="minorHAnsi" w:cstheme="minorHAnsi"/>
          <w:sz w:val="24"/>
          <w:szCs w:val="24"/>
        </w:rPr>
      </w:pPr>
      <w:r w:rsidRPr="00A929CE">
        <w:rPr>
          <w:rFonts w:asciiTheme="minorHAnsi" w:hAnsiTheme="minorHAnsi" w:cstheme="minorHAnsi"/>
          <w:sz w:val="24"/>
          <w:szCs w:val="24"/>
        </w:rPr>
        <w:t>L’objectif principal du diagnostic de la mise en œuvre de la PNA est d’apprécier les efforts consentis depuis 2009 à nos jours, d’analyser les contours de celle-ci en décelant les différents goulots d’étranglement pour en tenir compte dans la formulation de la PNA Horizon 2030.</w:t>
      </w:r>
    </w:p>
    <w:p w:rsidR="00BA0AF1" w:rsidRPr="00A929CE" w:rsidRDefault="00BA0AF1" w:rsidP="00A929CE">
      <w:pPr>
        <w:pStyle w:val="Titre2"/>
        <w:spacing w:line="360" w:lineRule="auto"/>
        <w:rPr>
          <w:rFonts w:asciiTheme="minorHAnsi" w:hAnsiTheme="minorHAnsi"/>
          <w:szCs w:val="24"/>
        </w:rPr>
      </w:pPr>
      <w:bookmarkStart w:id="25" w:name="_Toc536448583"/>
      <w:r w:rsidRPr="00A929CE">
        <w:rPr>
          <w:rFonts w:asciiTheme="minorHAnsi" w:hAnsiTheme="minorHAnsi"/>
          <w:szCs w:val="24"/>
        </w:rPr>
        <w:t>Approche méthodologique</w:t>
      </w:r>
      <w:bookmarkEnd w:id="25"/>
    </w:p>
    <w:p w:rsidR="00BA0AF1" w:rsidRPr="00A929CE" w:rsidRDefault="00BA0AF1" w:rsidP="00A929CE">
      <w:pPr>
        <w:pStyle w:val="BodyText"/>
        <w:spacing w:line="360" w:lineRule="auto"/>
        <w:rPr>
          <w:rFonts w:asciiTheme="minorHAnsi" w:hAnsiTheme="minorHAnsi" w:cstheme="minorHAnsi"/>
          <w:sz w:val="24"/>
          <w:szCs w:val="24"/>
        </w:rPr>
      </w:pPr>
      <w:r w:rsidRPr="00A929CE">
        <w:rPr>
          <w:rFonts w:asciiTheme="minorHAnsi" w:hAnsiTheme="minorHAnsi" w:cstheme="minorHAnsi"/>
          <w:sz w:val="24"/>
          <w:szCs w:val="24"/>
        </w:rPr>
        <w:t>Le processus qui a  guidé l’évaluation de la mise en œuvre de la PNA et ses stratégies rattachées se décline comme suit :</w:t>
      </w:r>
    </w:p>
    <w:p w:rsidR="00BA0AF1" w:rsidRPr="00A929CE" w:rsidRDefault="00BA0AF1" w:rsidP="00A929CE">
      <w:pPr>
        <w:pStyle w:val="BodyHdtxt"/>
        <w:numPr>
          <w:ilvl w:val="0"/>
          <w:numId w:val="61"/>
        </w:numPr>
        <w:spacing w:line="360" w:lineRule="auto"/>
        <w:jc w:val="both"/>
        <w:rPr>
          <w:rFonts w:asciiTheme="minorHAnsi" w:hAnsiTheme="minorHAnsi" w:cstheme="minorHAnsi"/>
          <w:sz w:val="24"/>
          <w:szCs w:val="24"/>
        </w:rPr>
      </w:pPr>
      <w:r w:rsidRPr="00A929CE">
        <w:rPr>
          <w:rFonts w:asciiTheme="minorHAnsi" w:hAnsiTheme="minorHAnsi" w:cstheme="minorHAnsi"/>
          <w:sz w:val="24"/>
          <w:szCs w:val="24"/>
        </w:rPr>
        <w:t>Une revue et analyse documentaire ;</w:t>
      </w:r>
    </w:p>
    <w:p w:rsidR="00BA0AF1" w:rsidRPr="00A929CE" w:rsidRDefault="00BA0AF1" w:rsidP="00A929CE">
      <w:pPr>
        <w:pStyle w:val="BodyText"/>
        <w:spacing w:line="360" w:lineRule="auto"/>
        <w:rPr>
          <w:rFonts w:asciiTheme="minorHAnsi" w:hAnsiTheme="minorHAnsi" w:cstheme="minorHAnsi"/>
          <w:sz w:val="24"/>
          <w:szCs w:val="24"/>
        </w:rPr>
      </w:pPr>
      <w:r w:rsidRPr="00A929CE">
        <w:rPr>
          <w:rFonts w:asciiTheme="minorHAnsi" w:hAnsiTheme="minorHAnsi" w:cstheme="minorHAnsi"/>
          <w:sz w:val="24"/>
          <w:szCs w:val="24"/>
        </w:rPr>
        <w:t>L’analyse documentaire s’est focalisée sur les documents portant rapports annuels de la DNACPN, des rapports des diverses revues sectorielles, des documents internationaux en lien avec l’assainissement, sans oublier les documents clés que sont la PNA et ses 5 stratégies, la PNE, CREDD, etc.)</w:t>
      </w:r>
      <w:r w:rsidR="009F0112">
        <w:rPr>
          <w:rFonts w:asciiTheme="minorHAnsi" w:hAnsiTheme="minorHAnsi" w:cstheme="minorHAnsi"/>
          <w:sz w:val="24"/>
          <w:szCs w:val="24"/>
        </w:rPr>
        <w:t>.</w:t>
      </w:r>
    </w:p>
    <w:p w:rsidR="00BA0AF1" w:rsidRPr="00A929CE" w:rsidRDefault="00BA0AF1" w:rsidP="00A929CE">
      <w:pPr>
        <w:pStyle w:val="BodyHdtxt"/>
        <w:numPr>
          <w:ilvl w:val="0"/>
          <w:numId w:val="61"/>
        </w:numPr>
        <w:spacing w:line="360" w:lineRule="auto"/>
        <w:jc w:val="both"/>
        <w:rPr>
          <w:rFonts w:asciiTheme="minorHAnsi" w:hAnsiTheme="minorHAnsi" w:cstheme="minorHAnsi"/>
          <w:sz w:val="24"/>
          <w:szCs w:val="24"/>
        </w:rPr>
      </w:pPr>
      <w:r w:rsidRPr="00A929CE">
        <w:rPr>
          <w:rFonts w:asciiTheme="minorHAnsi" w:hAnsiTheme="minorHAnsi" w:cstheme="minorHAnsi"/>
          <w:sz w:val="24"/>
          <w:szCs w:val="24"/>
        </w:rPr>
        <w:t>La réalisation d’entretiens avec les acteurs clés du sous-secteur, voire, du secteur Eau et Assainissement ;</w:t>
      </w:r>
    </w:p>
    <w:p w:rsidR="00BA0AF1" w:rsidRPr="00A929CE" w:rsidRDefault="00BA0AF1" w:rsidP="00A929CE">
      <w:pPr>
        <w:pStyle w:val="BodyText"/>
        <w:spacing w:line="360" w:lineRule="auto"/>
        <w:rPr>
          <w:rFonts w:asciiTheme="minorHAnsi" w:hAnsiTheme="minorHAnsi" w:cstheme="minorHAnsi"/>
          <w:sz w:val="24"/>
          <w:szCs w:val="24"/>
        </w:rPr>
      </w:pPr>
      <w:r w:rsidRPr="00A929CE">
        <w:rPr>
          <w:rFonts w:asciiTheme="minorHAnsi" w:hAnsiTheme="minorHAnsi" w:cstheme="minorHAnsi"/>
          <w:sz w:val="24"/>
          <w:szCs w:val="24"/>
        </w:rPr>
        <w:t xml:space="preserve">Dans l’optique d’une bonne collecte des données nécessaires à l’atteinte des objectifs assignés au diagnostic, la </w:t>
      </w:r>
      <w:r w:rsidR="009F0112">
        <w:rPr>
          <w:rFonts w:asciiTheme="minorHAnsi" w:hAnsiTheme="minorHAnsi" w:cstheme="minorHAnsi"/>
          <w:sz w:val="24"/>
          <w:szCs w:val="24"/>
        </w:rPr>
        <w:t>mission</w:t>
      </w:r>
      <w:r w:rsidRPr="00A929CE">
        <w:rPr>
          <w:rFonts w:asciiTheme="minorHAnsi" w:hAnsiTheme="minorHAnsi" w:cstheme="minorHAnsi"/>
          <w:sz w:val="24"/>
          <w:szCs w:val="24"/>
        </w:rPr>
        <w:t xml:space="preserve"> a conçu des guides d’entretien à l’adresse des acteurs clés du sous-secteur (voir annexes). Des entretiens ciblés ont eu lieu avec des responsables des structures étatiques en charge des questions d’assainissement comme la DNACPN, de certains PTF, des responsables de la société civile, du secteur privé et les collectivités territoriales. Ces entretiens se sont focalisés sur les points repères spécifiques à traiter et contenus dans les Termes de références de la relecture de la PNA.</w:t>
      </w:r>
    </w:p>
    <w:p w:rsidR="00BA0AF1" w:rsidRPr="00A929CE" w:rsidRDefault="00BA0AF1" w:rsidP="00A929CE">
      <w:pPr>
        <w:pStyle w:val="BodyHdtxt"/>
        <w:numPr>
          <w:ilvl w:val="0"/>
          <w:numId w:val="61"/>
        </w:numPr>
        <w:spacing w:line="360" w:lineRule="auto"/>
        <w:jc w:val="both"/>
        <w:rPr>
          <w:rFonts w:asciiTheme="minorHAnsi" w:hAnsiTheme="minorHAnsi" w:cstheme="minorHAnsi"/>
          <w:sz w:val="24"/>
          <w:szCs w:val="24"/>
        </w:rPr>
      </w:pPr>
      <w:r w:rsidRPr="00A929CE">
        <w:rPr>
          <w:rFonts w:asciiTheme="minorHAnsi" w:hAnsiTheme="minorHAnsi" w:cstheme="minorHAnsi"/>
          <w:sz w:val="24"/>
          <w:szCs w:val="24"/>
        </w:rPr>
        <w:t>Une analyse des informations et données collectées ;</w:t>
      </w:r>
    </w:p>
    <w:p w:rsidR="00BA0AF1" w:rsidRPr="00A929CE" w:rsidRDefault="00BA0AF1" w:rsidP="00A929CE">
      <w:pPr>
        <w:pStyle w:val="BodyText"/>
        <w:spacing w:line="360" w:lineRule="auto"/>
        <w:rPr>
          <w:rFonts w:asciiTheme="minorHAnsi" w:hAnsiTheme="minorHAnsi" w:cstheme="minorHAnsi"/>
          <w:sz w:val="24"/>
          <w:szCs w:val="24"/>
        </w:rPr>
      </w:pPr>
      <w:r w:rsidRPr="00A929CE">
        <w:rPr>
          <w:rFonts w:asciiTheme="minorHAnsi" w:hAnsiTheme="minorHAnsi" w:cstheme="minorHAnsi"/>
          <w:sz w:val="24"/>
          <w:szCs w:val="24"/>
        </w:rPr>
        <w:t xml:space="preserve">Au-delà des critères classiques d’évaluation que sont la pertinence, l’efficience, l’efficacité, la durabilité/pérennité et l’impact, le diagnostic a aussi concerné les aspects clés contenus dans la PNA (ancrage institutionnel, dispositif de suivi-évaluation, opérationnalisation, etc.).  </w:t>
      </w:r>
    </w:p>
    <w:p w:rsidR="0090292A" w:rsidRPr="00A929CE" w:rsidRDefault="0090292A" w:rsidP="00A929CE">
      <w:pPr>
        <w:pStyle w:val="Titre1"/>
        <w:numPr>
          <w:ilvl w:val="0"/>
          <w:numId w:val="0"/>
        </w:numPr>
        <w:spacing w:line="360" w:lineRule="auto"/>
        <w:ind w:left="432"/>
        <w:jc w:val="both"/>
        <w:rPr>
          <w:rFonts w:asciiTheme="minorHAnsi" w:hAnsiTheme="minorHAnsi" w:cstheme="minorHAnsi"/>
          <w:sz w:val="24"/>
          <w:szCs w:val="24"/>
        </w:rPr>
        <w:sectPr w:rsidR="0090292A" w:rsidRPr="00A929CE" w:rsidSect="003154FC">
          <w:pgSz w:w="11906" w:h="16838"/>
          <w:pgMar w:top="1417" w:right="1417" w:bottom="1417" w:left="1417" w:header="708" w:footer="708" w:gutter="0"/>
          <w:cols w:space="708"/>
          <w:docGrid w:linePitch="360"/>
        </w:sectPr>
      </w:pPr>
    </w:p>
    <w:p w:rsidR="00F468AB" w:rsidRPr="00A929CE" w:rsidRDefault="00F468AB" w:rsidP="00A929CE">
      <w:pPr>
        <w:pStyle w:val="Titre1"/>
        <w:spacing w:line="360" w:lineRule="auto"/>
        <w:rPr>
          <w:rFonts w:asciiTheme="minorHAnsi" w:hAnsiTheme="minorHAnsi"/>
          <w:sz w:val="24"/>
          <w:szCs w:val="24"/>
        </w:rPr>
      </w:pPr>
      <w:bookmarkStart w:id="26" w:name="_Toc185257979"/>
      <w:bookmarkStart w:id="27" w:name="_Toc536448584"/>
      <w:r w:rsidRPr="00A929CE">
        <w:rPr>
          <w:rFonts w:asciiTheme="minorHAnsi" w:hAnsiTheme="minorHAnsi"/>
          <w:sz w:val="24"/>
          <w:szCs w:val="24"/>
        </w:rPr>
        <w:t xml:space="preserve">Diagnostic du </w:t>
      </w:r>
      <w:r w:rsidR="009F0112">
        <w:rPr>
          <w:rFonts w:asciiTheme="minorHAnsi" w:hAnsiTheme="minorHAnsi"/>
          <w:sz w:val="24"/>
          <w:szCs w:val="24"/>
        </w:rPr>
        <w:t>sous-</w:t>
      </w:r>
      <w:r w:rsidRPr="00A929CE">
        <w:rPr>
          <w:rFonts w:asciiTheme="minorHAnsi" w:hAnsiTheme="minorHAnsi"/>
          <w:sz w:val="24"/>
          <w:szCs w:val="24"/>
        </w:rPr>
        <w:t>secteur de l’Assainissement au Mali</w:t>
      </w:r>
      <w:bookmarkEnd w:id="27"/>
    </w:p>
    <w:p w:rsidR="00647D81" w:rsidRPr="00A929CE" w:rsidRDefault="00B07B87" w:rsidP="00A929CE">
      <w:pPr>
        <w:pStyle w:val="Titre2"/>
        <w:spacing w:line="360" w:lineRule="auto"/>
        <w:rPr>
          <w:rFonts w:asciiTheme="minorHAnsi" w:hAnsiTheme="minorHAnsi"/>
          <w:szCs w:val="24"/>
        </w:rPr>
      </w:pPr>
      <w:bookmarkStart w:id="28" w:name="_Toc536448585"/>
      <w:r w:rsidRPr="00A929CE">
        <w:rPr>
          <w:rFonts w:asciiTheme="minorHAnsi" w:hAnsiTheme="minorHAnsi"/>
          <w:szCs w:val="24"/>
        </w:rPr>
        <w:t>BREF APERÇU SUR LE SOUS-SECTEUR DE L’ASSAINISSEMENT AU MALI</w:t>
      </w:r>
      <w:bookmarkEnd w:id="28"/>
      <w:r w:rsidRPr="00A929CE">
        <w:rPr>
          <w:rFonts w:asciiTheme="minorHAnsi" w:hAnsiTheme="minorHAnsi"/>
          <w:szCs w:val="24"/>
        </w:rPr>
        <w:t xml:space="preserve">  </w:t>
      </w:r>
      <w:bookmarkEnd w:id="26"/>
    </w:p>
    <w:p w:rsidR="00650F70" w:rsidRPr="00112EE9" w:rsidRDefault="00124133" w:rsidP="00B8772C">
      <w:pPr>
        <w:pStyle w:val="NormalWeb"/>
        <w:spacing w:before="0" w:beforeAutospacing="0" w:after="240" w:afterAutospacing="0" w:line="360" w:lineRule="auto"/>
        <w:jc w:val="both"/>
        <w:textAlignment w:val="top"/>
        <w:rPr>
          <w:rFonts w:asciiTheme="minorHAnsi" w:hAnsiTheme="minorHAnsi" w:cstheme="minorHAnsi"/>
          <w:color w:val="000000"/>
        </w:rPr>
      </w:pPr>
      <w:r w:rsidRPr="00B8772C">
        <w:rPr>
          <w:rFonts w:asciiTheme="minorHAnsi" w:hAnsiTheme="minorHAnsi" w:cstheme="minorHAnsi"/>
          <w:color w:val="000000"/>
        </w:rPr>
        <w:t>Au Mali, les problèmes d’assainissement se pose</w:t>
      </w:r>
      <w:r w:rsidRPr="001754BB">
        <w:rPr>
          <w:rFonts w:asciiTheme="minorHAnsi" w:hAnsiTheme="minorHAnsi" w:cstheme="minorHAnsi"/>
          <w:color w:val="000000"/>
        </w:rPr>
        <w:t xml:space="preserve">nt avec acuité, aussi bien dans les </w:t>
      </w:r>
      <w:r w:rsidR="00E75ACB" w:rsidRPr="001754BB">
        <w:rPr>
          <w:rFonts w:asciiTheme="minorHAnsi" w:hAnsiTheme="minorHAnsi" w:cstheme="minorHAnsi"/>
          <w:color w:val="000000"/>
        </w:rPr>
        <w:t xml:space="preserve">zones urbaines </w:t>
      </w:r>
      <w:r w:rsidRPr="00BC7FF5">
        <w:rPr>
          <w:rFonts w:asciiTheme="minorHAnsi" w:hAnsiTheme="minorHAnsi" w:cstheme="minorHAnsi"/>
          <w:color w:val="000000"/>
        </w:rPr>
        <w:t xml:space="preserve">que dans les </w:t>
      </w:r>
      <w:r w:rsidR="00E75ACB" w:rsidRPr="00BC7FF5">
        <w:rPr>
          <w:rFonts w:asciiTheme="minorHAnsi" w:hAnsiTheme="minorHAnsi" w:cstheme="minorHAnsi"/>
          <w:color w:val="000000"/>
        </w:rPr>
        <w:t>zones rurales</w:t>
      </w:r>
      <w:r w:rsidRPr="005274C0">
        <w:rPr>
          <w:rFonts w:asciiTheme="minorHAnsi" w:hAnsiTheme="minorHAnsi" w:cstheme="minorHAnsi"/>
          <w:color w:val="000000"/>
        </w:rPr>
        <w:t>. L’insalubrité</w:t>
      </w:r>
      <w:r w:rsidR="00E75ACB" w:rsidRPr="0022409F">
        <w:rPr>
          <w:rFonts w:asciiTheme="minorHAnsi" w:hAnsiTheme="minorHAnsi" w:cstheme="minorHAnsi"/>
          <w:color w:val="000000"/>
        </w:rPr>
        <w:t>, conséquence d’un incivisme criard</w:t>
      </w:r>
      <w:r w:rsidR="009F0112">
        <w:rPr>
          <w:rFonts w:asciiTheme="minorHAnsi" w:hAnsiTheme="minorHAnsi" w:cstheme="minorHAnsi"/>
          <w:color w:val="000000"/>
        </w:rPr>
        <w:t>,</w:t>
      </w:r>
      <w:r w:rsidRPr="0022409F">
        <w:rPr>
          <w:rFonts w:asciiTheme="minorHAnsi" w:hAnsiTheme="minorHAnsi" w:cstheme="minorHAnsi"/>
          <w:color w:val="000000"/>
        </w:rPr>
        <w:t>et l’insuffisance d’ouvrages d’assainissement entravent l</w:t>
      </w:r>
      <w:r w:rsidRPr="00112EE9">
        <w:rPr>
          <w:rFonts w:asciiTheme="minorHAnsi" w:hAnsiTheme="minorHAnsi" w:cstheme="minorHAnsi"/>
          <w:color w:val="000000"/>
        </w:rPr>
        <w:t>e développement</w:t>
      </w:r>
      <w:r w:rsidR="00E75ACB" w:rsidRPr="00112EE9">
        <w:rPr>
          <w:rFonts w:asciiTheme="minorHAnsi" w:hAnsiTheme="minorHAnsi" w:cstheme="minorHAnsi"/>
          <w:color w:val="000000"/>
        </w:rPr>
        <w:t xml:space="preserve"> socioéconomique des populations</w:t>
      </w:r>
      <w:r w:rsidR="009F0112">
        <w:rPr>
          <w:rFonts w:asciiTheme="minorHAnsi" w:hAnsiTheme="minorHAnsi" w:cstheme="minorHAnsi"/>
          <w:color w:val="000000"/>
        </w:rPr>
        <w:t xml:space="preserve"> à travers la dégradation de l’environnement, la propagation des maladies et diverses autres nuisances qui affectent la santé humaine en particulier</w:t>
      </w:r>
      <w:r w:rsidR="00E75ACB" w:rsidRPr="00112EE9">
        <w:rPr>
          <w:rFonts w:asciiTheme="minorHAnsi" w:hAnsiTheme="minorHAnsi" w:cstheme="minorHAnsi"/>
          <w:color w:val="000000"/>
        </w:rPr>
        <w:t xml:space="preserve">. </w:t>
      </w:r>
    </w:p>
    <w:p w:rsidR="00650F70" w:rsidRPr="00A929CE" w:rsidRDefault="00E75ACB" w:rsidP="00B8772C">
      <w:pPr>
        <w:pStyle w:val="NormalWeb"/>
        <w:spacing w:before="0" w:beforeAutospacing="0" w:after="240" w:afterAutospacing="0" w:line="360" w:lineRule="auto"/>
        <w:jc w:val="both"/>
        <w:textAlignment w:val="top"/>
        <w:rPr>
          <w:rFonts w:asciiTheme="minorHAnsi" w:hAnsiTheme="minorHAnsi" w:cstheme="minorHAnsi"/>
          <w:color w:val="000000"/>
        </w:rPr>
      </w:pPr>
      <w:r w:rsidRPr="00D863B8">
        <w:rPr>
          <w:rFonts w:asciiTheme="minorHAnsi" w:hAnsiTheme="minorHAnsi" w:cstheme="minorHAnsi"/>
          <w:color w:val="000000"/>
        </w:rPr>
        <w:t xml:space="preserve">Il faut souligner que les domaines </w:t>
      </w:r>
      <w:r w:rsidR="00124133" w:rsidRPr="00A929CE">
        <w:rPr>
          <w:rFonts w:asciiTheme="minorHAnsi" w:hAnsiTheme="minorHAnsi" w:cstheme="minorHAnsi"/>
          <w:color w:val="000000"/>
        </w:rPr>
        <w:t>de</w:t>
      </w:r>
      <w:r w:rsidRPr="00A929CE">
        <w:rPr>
          <w:rFonts w:asciiTheme="minorHAnsi" w:hAnsiTheme="minorHAnsi" w:cstheme="minorHAnsi"/>
          <w:color w:val="000000"/>
        </w:rPr>
        <w:t xml:space="preserve"> la promotion de </w:t>
      </w:r>
      <w:r w:rsidR="00124133" w:rsidRPr="00A929CE">
        <w:rPr>
          <w:rFonts w:asciiTheme="minorHAnsi" w:hAnsiTheme="minorHAnsi" w:cstheme="minorHAnsi"/>
          <w:color w:val="000000"/>
        </w:rPr>
        <w:t xml:space="preserve">l’hygiène et de l’assainissement </w:t>
      </w:r>
      <w:r w:rsidRPr="00A929CE">
        <w:rPr>
          <w:rFonts w:asciiTheme="minorHAnsi" w:hAnsiTheme="minorHAnsi" w:cstheme="minorHAnsi"/>
          <w:color w:val="000000"/>
        </w:rPr>
        <w:t xml:space="preserve">sont sujets </w:t>
      </w:r>
      <w:r w:rsidR="008D3391" w:rsidRPr="00A929CE">
        <w:rPr>
          <w:rFonts w:asciiTheme="minorHAnsi" w:hAnsiTheme="minorHAnsi" w:cstheme="minorHAnsi"/>
          <w:color w:val="000000"/>
        </w:rPr>
        <w:t xml:space="preserve">à </w:t>
      </w:r>
      <w:r w:rsidRPr="00A929CE">
        <w:rPr>
          <w:rFonts w:asciiTheme="minorHAnsi" w:hAnsiTheme="minorHAnsi" w:cstheme="minorHAnsi"/>
          <w:color w:val="000000"/>
        </w:rPr>
        <w:t xml:space="preserve">des goulots d’étranglement que sont </w:t>
      </w:r>
      <w:r w:rsidR="00124133" w:rsidRPr="00A929CE">
        <w:rPr>
          <w:rFonts w:asciiTheme="minorHAnsi" w:hAnsiTheme="minorHAnsi" w:cstheme="minorHAnsi"/>
          <w:color w:val="000000"/>
        </w:rPr>
        <w:t>:</w:t>
      </w:r>
      <w:r w:rsidRPr="00A929CE">
        <w:rPr>
          <w:rFonts w:asciiTheme="minorHAnsi" w:hAnsiTheme="minorHAnsi" w:cstheme="minorHAnsi"/>
          <w:color w:val="000000"/>
        </w:rPr>
        <w:t xml:space="preserve"> (1) l</w:t>
      </w:r>
      <w:r w:rsidR="008D3391" w:rsidRPr="00A929CE">
        <w:rPr>
          <w:rFonts w:asciiTheme="minorHAnsi" w:hAnsiTheme="minorHAnsi" w:cstheme="minorHAnsi"/>
          <w:color w:val="000000"/>
        </w:rPr>
        <w:t>’insuffisance</w:t>
      </w:r>
      <w:r w:rsidR="00124133" w:rsidRPr="00A929CE">
        <w:rPr>
          <w:rFonts w:asciiTheme="minorHAnsi" w:hAnsiTheme="minorHAnsi" w:cstheme="minorHAnsi"/>
          <w:color w:val="000000"/>
        </w:rPr>
        <w:t xml:space="preserve"> d’intérêt et de mobilisation politique, </w:t>
      </w:r>
      <w:r w:rsidRPr="00A929CE">
        <w:rPr>
          <w:rFonts w:asciiTheme="minorHAnsi" w:hAnsiTheme="minorHAnsi" w:cstheme="minorHAnsi"/>
          <w:color w:val="000000"/>
        </w:rPr>
        <w:t xml:space="preserve">(2) le </w:t>
      </w:r>
      <w:r w:rsidR="00124133" w:rsidRPr="00A929CE">
        <w:rPr>
          <w:rFonts w:asciiTheme="minorHAnsi" w:hAnsiTheme="minorHAnsi" w:cstheme="minorHAnsi"/>
          <w:color w:val="000000"/>
        </w:rPr>
        <w:t xml:space="preserve">manque de cohérence et d’efficacité institutionnelles et </w:t>
      </w:r>
      <w:r w:rsidRPr="00A929CE">
        <w:rPr>
          <w:rFonts w:asciiTheme="minorHAnsi" w:hAnsiTheme="minorHAnsi" w:cstheme="minorHAnsi"/>
          <w:color w:val="000000"/>
        </w:rPr>
        <w:t>(3) et enfin l</w:t>
      </w:r>
      <w:r w:rsidR="008D3391" w:rsidRPr="00A929CE">
        <w:rPr>
          <w:rFonts w:asciiTheme="minorHAnsi" w:hAnsiTheme="minorHAnsi" w:cstheme="minorHAnsi"/>
          <w:color w:val="000000"/>
        </w:rPr>
        <w:t xml:space="preserve">a faible mobilisation </w:t>
      </w:r>
      <w:r w:rsidR="00124133" w:rsidRPr="00A929CE">
        <w:rPr>
          <w:rFonts w:asciiTheme="minorHAnsi" w:hAnsiTheme="minorHAnsi" w:cstheme="minorHAnsi"/>
          <w:color w:val="000000"/>
        </w:rPr>
        <w:t>de</w:t>
      </w:r>
      <w:r w:rsidR="008D3391" w:rsidRPr="00A929CE">
        <w:rPr>
          <w:rFonts w:asciiTheme="minorHAnsi" w:hAnsiTheme="minorHAnsi" w:cstheme="minorHAnsi"/>
          <w:color w:val="000000"/>
        </w:rPr>
        <w:t>s</w:t>
      </w:r>
      <w:r w:rsidR="00124133" w:rsidRPr="00A929CE">
        <w:rPr>
          <w:rFonts w:asciiTheme="minorHAnsi" w:hAnsiTheme="minorHAnsi" w:cstheme="minorHAnsi"/>
          <w:color w:val="000000"/>
        </w:rPr>
        <w:t xml:space="preserve"> financements publics</w:t>
      </w:r>
      <w:r w:rsidR="00AB23C2" w:rsidRPr="00A929CE">
        <w:rPr>
          <w:rFonts w:asciiTheme="minorHAnsi" w:hAnsiTheme="minorHAnsi" w:cstheme="minorHAnsi"/>
          <w:color w:val="000000"/>
        </w:rPr>
        <w:t>, q</w:t>
      </w:r>
      <w:r w:rsidRPr="00A929CE">
        <w:rPr>
          <w:rFonts w:asciiTheme="minorHAnsi" w:hAnsiTheme="minorHAnsi" w:cstheme="minorHAnsi"/>
          <w:color w:val="000000"/>
        </w:rPr>
        <w:t xml:space="preserve">uand bien même, l’assainissement est érigé en priorité par les autorités maliennes. </w:t>
      </w:r>
    </w:p>
    <w:p w:rsidR="00E456A1" w:rsidRPr="00A929CE" w:rsidRDefault="00AD56B3" w:rsidP="001754BB">
      <w:pPr>
        <w:pStyle w:val="NormalWeb"/>
        <w:spacing w:before="0" w:beforeAutospacing="0" w:after="240" w:afterAutospacing="0" w:line="360" w:lineRule="auto"/>
        <w:jc w:val="both"/>
        <w:textAlignment w:val="top"/>
        <w:rPr>
          <w:rFonts w:asciiTheme="minorHAnsi" w:hAnsiTheme="minorHAnsi" w:cstheme="minorHAnsi"/>
        </w:rPr>
      </w:pPr>
      <w:r w:rsidRPr="00A929CE">
        <w:rPr>
          <w:rFonts w:asciiTheme="minorHAnsi" w:hAnsiTheme="minorHAnsi" w:cstheme="minorHAnsi"/>
          <w:color w:val="000000"/>
        </w:rPr>
        <w:t xml:space="preserve">Le </w:t>
      </w:r>
      <w:r w:rsidR="00ED7401" w:rsidRPr="00A929CE">
        <w:rPr>
          <w:rFonts w:asciiTheme="minorHAnsi" w:hAnsiTheme="minorHAnsi" w:cstheme="minorHAnsi"/>
        </w:rPr>
        <w:t xml:space="preserve">défi à relever </w:t>
      </w:r>
      <w:r w:rsidR="00817263" w:rsidRPr="00A929CE">
        <w:rPr>
          <w:rFonts w:asciiTheme="minorHAnsi" w:hAnsiTheme="minorHAnsi" w:cstheme="minorHAnsi"/>
        </w:rPr>
        <w:t xml:space="preserve">dans le </w:t>
      </w:r>
      <w:r w:rsidR="009F0112">
        <w:rPr>
          <w:rFonts w:asciiTheme="minorHAnsi" w:hAnsiTheme="minorHAnsi" w:cstheme="minorHAnsi"/>
        </w:rPr>
        <w:t>sous-</w:t>
      </w:r>
      <w:r w:rsidR="00817263" w:rsidRPr="00A929CE">
        <w:rPr>
          <w:rFonts w:asciiTheme="minorHAnsi" w:hAnsiTheme="minorHAnsi" w:cstheme="minorHAnsi"/>
        </w:rPr>
        <w:t xml:space="preserve">secteur est </w:t>
      </w:r>
      <w:r w:rsidR="003221E0">
        <w:rPr>
          <w:rFonts w:asciiTheme="minorHAnsi" w:hAnsiTheme="minorHAnsi" w:cstheme="minorHAnsi"/>
        </w:rPr>
        <w:t xml:space="preserve">d’encourager </w:t>
      </w:r>
      <w:r w:rsidR="009F0112">
        <w:rPr>
          <w:rFonts w:asciiTheme="minorHAnsi" w:hAnsiTheme="minorHAnsi" w:cstheme="minorHAnsi"/>
        </w:rPr>
        <w:t xml:space="preserve">une meilleure expression de la volonté politique </w:t>
      </w:r>
      <w:r w:rsidR="003221E0">
        <w:rPr>
          <w:rFonts w:asciiTheme="minorHAnsi" w:hAnsiTheme="minorHAnsi" w:cstheme="minorHAnsi"/>
        </w:rPr>
        <w:t xml:space="preserve">ce qui permettra de dégager </w:t>
      </w:r>
      <w:r w:rsidR="00ED7401" w:rsidRPr="00A929CE">
        <w:rPr>
          <w:rFonts w:asciiTheme="minorHAnsi" w:hAnsiTheme="minorHAnsi" w:cstheme="minorHAnsi"/>
        </w:rPr>
        <w:t xml:space="preserve">une vision </w:t>
      </w:r>
      <w:r w:rsidR="003221E0">
        <w:rPr>
          <w:rFonts w:asciiTheme="minorHAnsi" w:hAnsiTheme="minorHAnsi" w:cstheme="minorHAnsi"/>
        </w:rPr>
        <w:t xml:space="preserve">fédératrice </w:t>
      </w:r>
      <w:r w:rsidR="00817263" w:rsidRPr="00A929CE">
        <w:rPr>
          <w:rFonts w:asciiTheme="minorHAnsi" w:hAnsiTheme="minorHAnsi" w:cstheme="minorHAnsi"/>
        </w:rPr>
        <w:t xml:space="preserve"> des acteurs clés qui soit de nature à </w:t>
      </w:r>
      <w:r w:rsidR="00ED7401" w:rsidRPr="00A929CE">
        <w:rPr>
          <w:rFonts w:asciiTheme="minorHAnsi" w:hAnsiTheme="minorHAnsi" w:cstheme="minorHAnsi"/>
        </w:rPr>
        <w:t>mobiliser tou</w:t>
      </w:r>
      <w:r w:rsidR="00817263" w:rsidRPr="00A929CE">
        <w:rPr>
          <w:rFonts w:asciiTheme="minorHAnsi" w:hAnsiTheme="minorHAnsi" w:cstheme="minorHAnsi"/>
        </w:rPr>
        <w:t>t le monde</w:t>
      </w:r>
      <w:r w:rsidR="003221E0">
        <w:rPr>
          <w:rFonts w:asciiTheme="minorHAnsi" w:hAnsiTheme="minorHAnsi" w:cstheme="minorHAnsi"/>
        </w:rPr>
        <w:t>,</w:t>
      </w:r>
      <w:r w:rsidR="00817263" w:rsidRPr="00A929CE">
        <w:rPr>
          <w:rFonts w:asciiTheme="minorHAnsi" w:hAnsiTheme="minorHAnsi" w:cstheme="minorHAnsi"/>
        </w:rPr>
        <w:t xml:space="preserve"> et </w:t>
      </w:r>
      <w:r w:rsidR="003221E0">
        <w:rPr>
          <w:rFonts w:asciiTheme="minorHAnsi" w:hAnsiTheme="minorHAnsi" w:cstheme="minorHAnsi"/>
        </w:rPr>
        <w:t>de garantir</w:t>
      </w:r>
      <w:r w:rsidR="00817263" w:rsidRPr="00A929CE">
        <w:rPr>
          <w:rFonts w:asciiTheme="minorHAnsi" w:hAnsiTheme="minorHAnsi" w:cstheme="minorHAnsi"/>
        </w:rPr>
        <w:t xml:space="preserve"> la mise </w:t>
      </w:r>
      <w:r w:rsidR="00ED7401" w:rsidRPr="00A929CE">
        <w:rPr>
          <w:rFonts w:asciiTheme="minorHAnsi" w:hAnsiTheme="minorHAnsi" w:cstheme="minorHAnsi"/>
        </w:rPr>
        <w:t>en cohérence des actions disparates</w:t>
      </w:r>
      <w:r w:rsidR="003221E0">
        <w:rPr>
          <w:rFonts w:asciiTheme="minorHAnsi" w:hAnsiTheme="minorHAnsi" w:cstheme="minorHAnsi"/>
        </w:rPr>
        <w:t xml:space="preserve"> initiées çà et là.</w:t>
      </w:r>
      <w:r w:rsidR="00ED7401" w:rsidRPr="00A929CE">
        <w:rPr>
          <w:rFonts w:asciiTheme="minorHAnsi" w:hAnsiTheme="minorHAnsi" w:cstheme="minorHAnsi"/>
        </w:rPr>
        <w:t xml:space="preserve">. </w:t>
      </w:r>
      <w:r w:rsidR="00817263" w:rsidRPr="00A929CE">
        <w:rPr>
          <w:rFonts w:asciiTheme="minorHAnsi" w:hAnsiTheme="minorHAnsi" w:cstheme="minorHAnsi"/>
        </w:rPr>
        <w:t xml:space="preserve">Même si ces aspects </w:t>
      </w:r>
      <w:r w:rsidR="00ED7401" w:rsidRPr="00A929CE">
        <w:rPr>
          <w:rFonts w:asciiTheme="minorHAnsi" w:hAnsiTheme="minorHAnsi" w:cstheme="minorHAnsi"/>
        </w:rPr>
        <w:t xml:space="preserve">ont prévalu </w:t>
      </w:r>
      <w:r w:rsidR="007D68DB" w:rsidRPr="00A929CE">
        <w:rPr>
          <w:rFonts w:asciiTheme="minorHAnsi" w:hAnsiTheme="minorHAnsi" w:cstheme="minorHAnsi"/>
        </w:rPr>
        <w:t xml:space="preserve">lors </w:t>
      </w:r>
      <w:r w:rsidR="00817263" w:rsidRPr="00A929CE">
        <w:rPr>
          <w:rFonts w:asciiTheme="minorHAnsi" w:hAnsiTheme="minorHAnsi" w:cstheme="minorHAnsi"/>
        </w:rPr>
        <w:t xml:space="preserve">de l’élaboration de la </w:t>
      </w:r>
      <w:r w:rsidR="00ED7401" w:rsidRPr="00A929CE">
        <w:rPr>
          <w:rFonts w:asciiTheme="minorHAnsi" w:hAnsiTheme="minorHAnsi" w:cstheme="minorHAnsi"/>
        </w:rPr>
        <w:t xml:space="preserve">Politique Nationale de l’Assainissement </w:t>
      </w:r>
      <w:r w:rsidRPr="00A929CE">
        <w:rPr>
          <w:rFonts w:asciiTheme="minorHAnsi" w:hAnsiTheme="minorHAnsi" w:cstheme="minorHAnsi"/>
        </w:rPr>
        <w:t>en janvier</w:t>
      </w:r>
      <w:r w:rsidR="00ED7401" w:rsidRPr="00A929CE">
        <w:rPr>
          <w:rFonts w:asciiTheme="minorHAnsi" w:hAnsiTheme="minorHAnsi" w:cstheme="minorHAnsi"/>
        </w:rPr>
        <w:t xml:space="preserve"> 2009, </w:t>
      </w:r>
      <w:r w:rsidR="00817263" w:rsidRPr="00A929CE">
        <w:rPr>
          <w:rFonts w:asciiTheme="minorHAnsi" w:hAnsiTheme="minorHAnsi" w:cstheme="minorHAnsi"/>
        </w:rPr>
        <w:t>force est de reconnaître qu’en dépit des progrès réalisés, la situation n’est pas des plus reluisante</w:t>
      </w:r>
      <w:r w:rsidR="003221E0">
        <w:rPr>
          <w:rFonts w:asciiTheme="minorHAnsi" w:hAnsiTheme="minorHAnsi" w:cstheme="minorHAnsi"/>
        </w:rPr>
        <w:t>s</w:t>
      </w:r>
      <w:r w:rsidR="00817263" w:rsidRPr="00A929CE">
        <w:rPr>
          <w:rFonts w:asciiTheme="minorHAnsi" w:hAnsiTheme="minorHAnsi" w:cstheme="minorHAnsi"/>
        </w:rPr>
        <w:t xml:space="preserve">. </w:t>
      </w:r>
      <w:r w:rsidR="00E456A1" w:rsidRPr="00A929CE">
        <w:rPr>
          <w:rFonts w:asciiTheme="minorHAnsi" w:hAnsiTheme="minorHAnsi" w:cstheme="minorHAnsi"/>
        </w:rPr>
        <w:t xml:space="preserve">Le sous-secteur ne bénéficie pas d’une attention particulière qui puisse permettre de lever les différents goulots d’étranglement qui l’assaillent. Il demeure </w:t>
      </w:r>
      <w:r w:rsidR="00A633CB" w:rsidRPr="00A929CE">
        <w:rPr>
          <w:rFonts w:asciiTheme="minorHAnsi" w:hAnsiTheme="minorHAnsi" w:cstheme="minorHAnsi"/>
          <w:b/>
        </w:rPr>
        <w:t>sous-financé comparé au</w:t>
      </w:r>
      <w:r w:rsidR="003221E0">
        <w:rPr>
          <w:rFonts w:asciiTheme="minorHAnsi" w:hAnsiTheme="minorHAnsi" w:cstheme="minorHAnsi"/>
          <w:b/>
        </w:rPr>
        <w:t xml:space="preserve"> sous-</w:t>
      </w:r>
      <w:r w:rsidR="00E456A1" w:rsidRPr="00A929CE">
        <w:rPr>
          <w:rFonts w:asciiTheme="minorHAnsi" w:hAnsiTheme="minorHAnsi" w:cstheme="minorHAnsi"/>
        </w:rPr>
        <w:t>secteur</w:t>
      </w:r>
      <w:r w:rsidR="00A633CB" w:rsidRPr="00A929CE">
        <w:rPr>
          <w:rFonts w:asciiTheme="minorHAnsi" w:hAnsiTheme="minorHAnsi" w:cstheme="minorHAnsi"/>
        </w:rPr>
        <w:t>sde l’</w:t>
      </w:r>
      <w:r w:rsidR="00E456A1" w:rsidRPr="00A929CE">
        <w:rPr>
          <w:rFonts w:asciiTheme="minorHAnsi" w:hAnsiTheme="minorHAnsi" w:cstheme="minorHAnsi"/>
        </w:rPr>
        <w:t>Eau</w:t>
      </w:r>
      <w:r w:rsidR="00A633CB" w:rsidRPr="00A929CE">
        <w:rPr>
          <w:rFonts w:asciiTheme="minorHAnsi" w:hAnsiTheme="minorHAnsi" w:cstheme="minorHAnsi"/>
        </w:rPr>
        <w:t xml:space="preserve">, </w:t>
      </w:r>
      <w:r w:rsidR="003221E0">
        <w:rPr>
          <w:rFonts w:asciiTheme="minorHAnsi" w:hAnsiTheme="minorHAnsi" w:cstheme="minorHAnsi"/>
        </w:rPr>
        <w:t xml:space="preserve">ou encore aux secteurs </w:t>
      </w:r>
      <w:r w:rsidR="00A633CB" w:rsidRPr="00A929CE">
        <w:rPr>
          <w:rFonts w:asciiTheme="minorHAnsi" w:hAnsiTheme="minorHAnsi" w:cstheme="minorHAnsi"/>
        </w:rPr>
        <w:t xml:space="preserve">de la Santé et de l’Energie </w:t>
      </w:r>
      <w:r w:rsidR="00E456A1" w:rsidRPr="00A929CE">
        <w:rPr>
          <w:rFonts w:asciiTheme="minorHAnsi" w:hAnsiTheme="minorHAnsi" w:cstheme="minorHAnsi"/>
        </w:rPr>
        <w:t xml:space="preserve">au Mali. </w:t>
      </w:r>
      <w:r w:rsidR="001528A1" w:rsidRPr="00A929CE">
        <w:rPr>
          <w:rFonts w:asciiTheme="minorHAnsi" w:hAnsiTheme="minorHAnsi" w:cstheme="minorHAnsi"/>
        </w:rPr>
        <w:t xml:space="preserve">Il faut cependant noter que </w:t>
      </w:r>
      <w:r w:rsidR="003221E0">
        <w:rPr>
          <w:rFonts w:asciiTheme="minorHAnsi" w:hAnsiTheme="minorHAnsi" w:cstheme="minorHAnsi"/>
        </w:rPr>
        <w:t xml:space="preserve">bien que </w:t>
      </w:r>
      <w:r w:rsidR="001528A1" w:rsidRPr="00A929CE">
        <w:rPr>
          <w:rFonts w:asciiTheme="minorHAnsi" w:hAnsiTheme="minorHAnsi" w:cstheme="minorHAnsi"/>
        </w:rPr>
        <w:t xml:space="preserve">des efforts </w:t>
      </w:r>
      <w:r w:rsidR="008D3391" w:rsidRPr="00A929CE">
        <w:rPr>
          <w:rFonts w:asciiTheme="minorHAnsi" w:hAnsiTheme="minorHAnsi" w:cstheme="minorHAnsi"/>
        </w:rPr>
        <w:t xml:space="preserve">importants </w:t>
      </w:r>
      <w:r w:rsidR="003221E0">
        <w:rPr>
          <w:rFonts w:asciiTheme="minorHAnsi" w:hAnsiTheme="minorHAnsi" w:cstheme="minorHAnsi"/>
        </w:rPr>
        <w:t>aie</w:t>
      </w:r>
      <w:r w:rsidR="001528A1" w:rsidRPr="00A929CE">
        <w:rPr>
          <w:rFonts w:asciiTheme="minorHAnsi" w:hAnsiTheme="minorHAnsi" w:cstheme="minorHAnsi"/>
        </w:rPr>
        <w:t xml:space="preserve">nt été accomplis dans le </w:t>
      </w:r>
      <w:r w:rsidR="00453352" w:rsidRPr="00A929CE">
        <w:rPr>
          <w:rFonts w:asciiTheme="minorHAnsi" w:hAnsiTheme="minorHAnsi" w:cstheme="minorHAnsi"/>
        </w:rPr>
        <w:t>domaine</w:t>
      </w:r>
      <w:r w:rsidR="00453352">
        <w:rPr>
          <w:rFonts w:asciiTheme="minorHAnsi" w:hAnsiTheme="minorHAnsi" w:cstheme="minorHAnsi"/>
        </w:rPr>
        <w:t xml:space="preserve">, </w:t>
      </w:r>
      <w:r w:rsidR="00453352" w:rsidRPr="00A929CE">
        <w:rPr>
          <w:rFonts w:asciiTheme="minorHAnsi" w:hAnsiTheme="minorHAnsi" w:cstheme="minorHAnsi"/>
        </w:rPr>
        <w:t>force</w:t>
      </w:r>
      <w:r w:rsidR="001528A1" w:rsidRPr="00A929CE">
        <w:rPr>
          <w:rFonts w:asciiTheme="minorHAnsi" w:hAnsiTheme="minorHAnsi" w:cstheme="minorHAnsi"/>
        </w:rPr>
        <w:t xml:space="preserve"> est de reconnaître que </w:t>
      </w:r>
      <w:r w:rsidR="00A633CB" w:rsidRPr="00A929CE">
        <w:rPr>
          <w:rFonts w:asciiTheme="minorHAnsi" w:hAnsiTheme="minorHAnsi" w:cstheme="minorHAnsi"/>
        </w:rPr>
        <w:t>l</w:t>
      </w:r>
      <w:r w:rsidR="001528A1" w:rsidRPr="00A929CE">
        <w:rPr>
          <w:rFonts w:asciiTheme="minorHAnsi" w:hAnsiTheme="minorHAnsi" w:cstheme="minorHAnsi"/>
        </w:rPr>
        <w:t xml:space="preserve">es objectifs que </w:t>
      </w:r>
      <w:r w:rsidR="00621D47" w:rsidRPr="00A929CE">
        <w:rPr>
          <w:rFonts w:asciiTheme="minorHAnsi" w:hAnsiTheme="minorHAnsi" w:cstheme="minorHAnsi"/>
        </w:rPr>
        <w:t>l’on s’était</w:t>
      </w:r>
      <w:r w:rsidR="00A633CB" w:rsidRPr="00A929CE">
        <w:rPr>
          <w:rFonts w:asciiTheme="minorHAnsi" w:hAnsiTheme="minorHAnsi" w:cstheme="minorHAnsi"/>
        </w:rPr>
        <w:t xml:space="preserve"> fixé pour l’atteinte des Objectifs de Développement du Millénaire (OMD) n’étaient pas atteints</w:t>
      </w:r>
      <w:r w:rsidR="003221E0">
        <w:rPr>
          <w:rFonts w:asciiTheme="minorHAnsi" w:hAnsiTheme="minorHAnsi" w:cstheme="minorHAnsi"/>
        </w:rPr>
        <w:t>,</w:t>
      </w:r>
      <w:r w:rsidR="00A633CB" w:rsidRPr="00A929CE">
        <w:rPr>
          <w:rFonts w:asciiTheme="minorHAnsi" w:hAnsiTheme="minorHAnsi" w:cstheme="minorHAnsi"/>
        </w:rPr>
        <w:t xml:space="preserve"> et </w:t>
      </w:r>
      <w:r w:rsidR="003221E0">
        <w:rPr>
          <w:rFonts w:asciiTheme="minorHAnsi" w:hAnsiTheme="minorHAnsi" w:cstheme="minorHAnsi"/>
        </w:rPr>
        <w:t xml:space="preserve">qu’en conséquence en ce qui </w:t>
      </w:r>
      <w:r w:rsidR="00453352">
        <w:rPr>
          <w:rFonts w:asciiTheme="minorHAnsi" w:hAnsiTheme="minorHAnsi" w:cstheme="minorHAnsi"/>
        </w:rPr>
        <w:t xml:space="preserve">concerne </w:t>
      </w:r>
      <w:r w:rsidR="00453352" w:rsidRPr="00A929CE">
        <w:rPr>
          <w:rFonts w:asciiTheme="minorHAnsi" w:hAnsiTheme="minorHAnsi" w:cstheme="minorHAnsi"/>
        </w:rPr>
        <w:t>les</w:t>
      </w:r>
      <w:r w:rsidR="00A633CB" w:rsidRPr="00A929CE">
        <w:rPr>
          <w:rFonts w:asciiTheme="minorHAnsi" w:hAnsiTheme="minorHAnsi" w:cstheme="minorHAnsi"/>
        </w:rPr>
        <w:t xml:space="preserve"> projections des Objectifs de Développement Durable (ODD)</w:t>
      </w:r>
      <w:r w:rsidR="001F40E8" w:rsidRPr="00A929CE">
        <w:rPr>
          <w:rFonts w:asciiTheme="minorHAnsi" w:hAnsiTheme="minorHAnsi" w:cstheme="minorHAnsi"/>
        </w:rPr>
        <w:t>, le niveau d’effort requis est encore plus important.</w:t>
      </w:r>
    </w:p>
    <w:p w:rsidR="00817263" w:rsidRPr="00A929CE" w:rsidRDefault="00817263" w:rsidP="001754BB">
      <w:pPr>
        <w:pStyle w:val="BodyText"/>
        <w:spacing w:line="360" w:lineRule="auto"/>
        <w:rPr>
          <w:rFonts w:asciiTheme="minorHAnsi" w:hAnsiTheme="minorHAnsi" w:cstheme="minorHAnsi"/>
          <w:sz w:val="24"/>
          <w:szCs w:val="24"/>
        </w:rPr>
      </w:pPr>
      <w:r w:rsidRPr="00A929CE">
        <w:rPr>
          <w:rFonts w:asciiTheme="minorHAnsi" w:hAnsiTheme="minorHAnsi" w:cstheme="minorHAnsi"/>
          <w:sz w:val="24"/>
          <w:szCs w:val="24"/>
        </w:rPr>
        <w:t xml:space="preserve">D’une manière </w:t>
      </w:r>
      <w:r w:rsidR="006D3DE1" w:rsidRPr="00A929CE">
        <w:rPr>
          <w:rFonts w:asciiTheme="minorHAnsi" w:hAnsiTheme="minorHAnsi" w:cstheme="minorHAnsi"/>
          <w:sz w:val="24"/>
          <w:szCs w:val="24"/>
        </w:rPr>
        <w:t>résumée</w:t>
      </w:r>
      <w:r w:rsidRPr="00A929CE">
        <w:rPr>
          <w:rFonts w:asciiTheme="minorHAnsi" w:hAnsiTheme="minorHAnsi" w:cstheme="minorHAnsi"/>
          <w:sz w:val="24"/>
          <w:szCs w:val="24"/>
        </w:rPr>
        <w:t xml:space="preserve">, </w:t>
      </w:r>
      <w:r w:rsidR="00E456A1" w:rsidRPr="00A929CE">
        <w:rPr>
          <w:rFonts w:asciiTheme="minorHAnsi" w:hAnsiTheme="minorHAnsi" w:cstheme="minorHAnsi"/>
          <w:sz w:val="24"/>
          <w:szCs w:val="24"/>
        </w:rPr>
        <w:t xml:space="preserve">la situation se présente comme suit </w:t>
      </w:r>
      <w:r w:rsidRPr="00A929CE">
        <w:rPr>
          <w:rFonts w:asciiTheme="minorHAnsi" w:hAnsiTheme="minorHAnsi" w:cstheme="minorHAnsi"/>
          <w:sz w:val="24"/>
          <w:szCs w:val="24"/>
        </w:rPr>
        <w:t xml:space="preserve">: </w:t>
      </w:r>
    </w:p>
    <w:p w:rsidR="00FA61B1" w:rsidRDefault="00FA61B1">
      <w:pPr>
        <w:spacing w:after="160" w:line="259" w:lineRule="auto"/>
        <w:rPr>
          <w:rFonts w:asciiTheme="minorHAnsi" w:eastAsia="Times New Roman" w:hAnsiTheme="minorHAnsi" w:cstheme="minorHAnsi"/>
          <w:b/>
          <w:bCs/>
          <w:sz w:val="24"/>
          <w:szCs w:val="24"/>
        </w:rPr>
      </w:pPr>
      <w:r>
        <w:rPr>
          <w:rFonts w:asciiTheme="minorHAnsi" w:hAnsiTheme="minorHAnsi"/>
          <w:szCs w:val="24"/>
        </w:rPr>
        <w:br w:type="page"/>
      </w:r>
    </w:p>
    <w:p w:rsidR="00817263" w:rsidRPr="00A929CE" w:rsidRDefault="0092566A" w:rsidP="00BC7FF5">
      <w:pPr>
        <w:pStyle w:val="Titre2"/>
        <w:spacing w:before="240" w:line="360" w:lineRule="auto"/>
        <w:rPr>
          <w:rFonts w:asciiTheme="minorHAnsi" w:hAnsiTheme="minorHAnsi"/>
          <w:szCs w:val="24"/>
        </w:rPr>
      </w:pPr>
      <w:bookmarkStart w:id="29" w:name="_Toc536448586"/>
      <w:r w:rsidRPr="00A929CE">
        <w:rPr>
          <w:rFonts w:asciiTheme="minorHAnsi" w:hAnsiTheme="minorHAnsi"/>
          <w:szCs w:val="24"/>
        </w:rPr>
        <w:t>L</w:t>
      </w:r>
      <w:r w:rsidR="00ED7401" w:rsidRPr="00A929CE">
        <w:rPr>
          <w:rFonts w:asciiTheme="minorHAnsi" w:hAnsiTheme="minorHAnsi"/>
          <w:szCs w:val="24"/>
        </w:rPr>
        <w:t>a gestion des déchets solides</w:t>
      </w:r>
      <w:bookmarkEnd w:id="29"/>
    </w:p>
    <w:p w:rsidR="001E7BCE" w:rsidRPr="00A929CE" w:rsidRDefault="001E7BCE" w:rsidP="00112EE9">
      <w:pPr>
        <w:pStyle w:val="NormalWeb"/>
        <w:spacing w:before="0" w:beforeAutospacing="0" w:after="240" w:afterAutospacing="0" w:line="360" w:lineRule="auto"/>
        <w:jc w:val="both"/>
        <w:textAlignment w:val="top"/>
        <w:rPr>
          <w:rFonts w:asciiTheme="minorHAnsi" w:hAnsiTheme="minorHAnsi" w:cstheme="minorHAnsi"/>
          <w:color w:val="444444"/>
        </w:rPr>
      </w:pPr>
      <w:r w:rsidRPr="00A929CE">
        <w:rPr>
          <w:rFonts w:asciiTheme="minorHAnsi" w:hAnsiTheme="minorHAnsi" w:cstheme="minorHAnsi"/>
          <w:color w:val="444444"/>
        </w:rPr>
        <w:t xml:space="preserve">Au Mali, deux niveaux gouvernent la gestion des déchets solides : </w:t>
      </w:r>
    </w:p>
    <w:p w:rsidR="001E7BCE" w:rsidRPr="00A929CE" w:rsidRDefault="00453352" w:rsidP="00112EE9">
      <w:pPr>
        <w:pStyle w:val="NormalWeb"/>
        <w:numPr>
          <w:ilvl w:val="0"/>
          <w:numId w:val="58"/>
        </w:numPr>
        <w:spacing w:before="0" w:beforeAutospacing="0" w:after="240" w:afterAutospacing="0" w:line="360" w:lineRule="auto"/>
        <w:jc w:val="both"/>
        <w:textAlignment w:val="top"/>
        <w:rPr>
          <w:rFonts w:asciiTheme="minorHAnsi" w:hAnsiTheme="minorHAnsi" w:cstheme="minorHAnsi"/>
          <w:color w:val="444444"/>
        </w:rPr>
      </w:pPr>
      <w:r w:rsidRPr="00A929CE">
        <w:rPr>
          <w:rFonts w:asciiTheme="minorHAnsi" w:hAnsiTheme="minorHAnsi" w:cstheme="minorHAnsi"/>
          <w:color w:val="444444"/>
        </w:rPr>
        <w:t>La</w:t>
      </w:r>
      <w:r w:rsidR="001E7BCE" w:rsidRPr="00A929CE">
        <w:rPr>
          <w:rFonts w:asciiTheme="minorHAnsi" w:hAnsiTheme="minorHAnsi" w:cstheme="minorHAnsi"/>
          <w:color w:val="444444"/>
        </w:rPr>
        <w:t xml:space="preserve"> collecte primaire ou pré collecte assurée par les GIE qui à l’aide de camions, de charrettes à traction asine, ramassent les ordures aux portes des concessions pour les déposer </w:t>
      </w:r>
      <w:r>
        <w:rPr>
          <w:rFonts w:asciiTheme="minorHAnsi" w:hAnsiTheme="minorHAnsi" w:cstheme="minorHAnsi"/>
          <w:color w:val="444444"/>
        </w:rPr>
        <w:t xml:space="preserve">dans </w:t>
      </w:r>
      <w:r w:rsidRPr="00A929CE">
        <w:rPr>
          <w:rFonts w:asciiTheme="minorHAnsi" w:hAnsiTheme="minorHAnsi" w:cstheme="minorHAnsi"/>
          <w:color w:val="444444"/>
        </w:rPr>
        <w:t>des</w:t>
      </w:r>
      <w:r w:rsidR="001E7BCE" w:rsidRPr="00A929CE">
        <w:rPr>
          <w:rFonts w:asciiTheme="minorHAnsi" w:hAnsiTheme="minorHAnsi" w:cstheme="minorHAnsi"/>
          <w:color w:val="444444"/>
        </w:rPr>
        <w:t xml:space="preserve"> dépôts de transit ;</w:t>
      </w:r>
    </w:p>
    <w:p w:rsidR="001E7BCE" w:rsidRPr="00A929CE" w:rsidRDefault="001E7BCE" w:rsidP="00112EE9">
      <w:pPr>
        <w:pStyle w:val="NormalWeb"/>
        <w:numPr>
          <w:ilvl w:val="0"/>
          <w:numId w:val="58"/>
        </w:numPr>
        <w:shd w:val="clear" w:color="auto" w:fill="FFFFFF"/>
        <w:spacing w:before="0" w:beforeAutospacing="0" w:after="240" w:afterAutospacing="0" w:line="360" w:lineRule="auto"/>
        <w:jc w:val="both"/>
        <w:textAlignment w:val="top"/>
        <w:rPr>
          <w:rFonts w:asciiTheme="minorHAnsi" w:hAnsiTheme="minorHAnsi" w:cstheme="minorHAnsi"/>
          <w:color w:val="444444"/>
        </w:rPr>
      </w:pPr>
      <w:r w:rsidRPr="00A929CE">
        <w:rPr>
          <w:rFonts w:asciiTheme="minorHAnsi" w:hAnsiTheme="minorHAnsi" w:cstheme="minorHAnsi"/>
          <w:color w:val="444444"/>
        </w:rPr>
        <w:t xml:space="preserve">La collecte secondaire est assurée par la Direction des Services Urbains de Voirie et Assainissement (DSUVA). Il revient à la voirie de transporter les déchets des dépôts de transit vers la décharge finale. Malheureusement, même Bamako ne dispose pas actuellement de décharges finales. Malgré la présence de plusieurs acteurs sur le terrain que sont (i) les informels, (ii) les GIE, (iii) Ozone Mali, le résultat reste insuffisant. </w:t>
      </w:r>
    </w:p>
    <w:p w:rsidR="00137E10" w:rsidRDefault="009E5FEC" w:rsidP="00D54C69">
      <w:pPr>
        <w:spacing w:line="360" w:lineRule="auto"/>
        <w:jc w:val="both"/>
        <w:rPr>
          <w:rFonts w:asciiTheme="minorHAnsi" w:hAnsiTheme="minorHAnsi"/>
          <w:sz w:val="24"/>
          <w:szCs w:val="24"/>
        </w:rPr>
      </w:pPr>
      <w:r w:rsidRPr="007F37D7">
        <w:rPr>
          <w:rFonts w:asciiTheme="minorHAnsi" w:hAnsiTheme="minorHAnsi"/>
          <w:sz w:val="24"/>
          <w:szCs w:val="24"/>
        </w:rPr>
        <w:t xml:space="preserve">Pour une gestion idoine des </w:t>
      </w:r>
      <w:r w:rsidR="007D5B02" w:rsidRPr="007F37D7">
        <w:rPr>
          <w:rFonts w:asciiTheme="minorHAnsi" w:hAnsiTheme="minorHAnsi"/>
          <w:sz w:val="24"/>
          <w:szCs w:val="24"/>
        </w:rPr>
        <w:t>déchets solides, les infrastructures</w:t>
      </w:r>
      <w:r w:rsidR="002C34D3" w:rsidRPr="007F37D7">
        <w:rPr>
          <w:rFonts w:asciiTheme="minorHAnsi" w:hAnsiTheme="minorHAnsi"/>
          <w:sz w:val="24"/>
          <w:szCs w:val="24"/>
        </w:rPr>
        <w:t xml:space="preserve"> </w:t>
      </w:r>
      <w:r w:rsidR="007D5B02" w:rsidRPr="007F37D7">
        <w:rPr>
          <w:rFonts w:asciiTheme="minorHAnsi" w:hAnsiTheme="minorHAnsi"/>
          <w:sz w:val="24"/>
          <w:szCs w:val="24"/>
        </w:rPr>
        <w:t xml:space="preserve">manquent </w:t>
      </w:r>
      <w:r w:rsidR="00D3260A" w:rsidRPr="007F37D7">
        <w:rPr>
          <w:rFonts w:asciiTheme="minorHAnsi" w:hAnsiTheme="minorHAnsi"/>
          <w:sz w:val="24"/>
          <w:szCs w:val="24"/>
        </w:rPr>
        <w:t>fortement</w:t>
      </w:r>
      <w:r w:rsidR="007D5B02" w:rsidRPr="007F37D7">
        <w:rPr>
          <w:rFonts w:asciiTheme="minorHAnsi" w:hAnsiTheme="minorHAnsi"/>
          <w:sz w:val="24"/>
          <w:szCs w:val="24"/>
        </w:rPr>
        <w:t xml:space="preserve"> : même à Bamako la moitié des déchets n’est ni ramassée ni traitée. Il n’existe de dépôts de transit autorisés que dans quelques grandes villes mais la majorité des ordures pré-collectées par les Groupement d’Intérêt Economique </w:t>
      </w:r>
      <w:r w:rsidR="00516E35" w:rsidRPr="007F37D7">
        <w:rPr>
          <w:rFonts w:asciiTheme="minorHAnsi" w:hAnsiTheme="minorHAnsi"/>
          <w:sz w:val="24"/>
          <w:szCs w:val="24"/>
        </w:rPr>
        <w:t xml:space="preserve">(GIE) </w:t>
      </w:r>
      <w:r w:rsidR="007D5B02" w:rsidRPr="007F37D7">
        <w:rPr>
          <w:rFonts w:asciiTheme="minorHAnsi" w:hAnsiTheme="minorHAnsi"/>
          <w:sz w:val="24"/>
          <w:szCs w:val="24"/>
        </w:rPr>
        <w:t>ou les ménages finissent dans des dépôts anarchiques, dans les caniveaux à ciel ouvert ou les cours d’eau. En milieu rural, elles s’entassent aux abords des concessions</w:t>
      </w:r>
      <w:r w:rsidR="00B32D7E" w:rsidRPr="007F37D7">
        <w:rPr>
          <w:rFonts w:asciiTheme="minorHAnsi" w:hAnsiTheme="minorHAnsi"/>
          <w:sz w:val="24"/>
          <w:szCs w:val="24"/>
        </w:rPr>
        <w:t>,</w:t>
      </w:r>
      <w:r w:rsidR="007D5B02" w:rsidRPr="007F37D7">
        <w:rPr>
          <w:rFonts w:asciiTheme="minorHAnsi" w:hAnsiTheme="minorHAnsi"/>
          <w:sz w:val="24"/>
          <w:szCs w:val="24"/>
        </w:rPr>
        <w:t xml:space="preserve"> dans des terrains vagues avant d’être répandues sur les champs à l’approche de l’hivernage. Il n’existe pour le moment qu’un seul Centre d’Enfouissement Technique </w:t>
      </w:r>
      <w:r w:rsidR="00D3260A" w:rsidRPr="007F37D7">
        <w:rPr>
          <w:rFonts w:asciiTheme="minorHAnsi" w:hAnsiTheme="minorHAnsi"/>
          <w:sz w:val="24"/>
          <w:szCs w:val="24"/>
        </w:rPr>
        <w:t xml:space="preserve">(CET) </w:t>
      </w:r>
      <w:r w:rsidR="007D5B02" w:rsidRPr="007F37D7">
        <w:rPr>
          <w:rFonts w:asciiTheme="minorHAnsi" w:hAnsiTheme="minorHAnsi"/>
          <w:sz w:val="24"/>
          <w:szCs w:val="24"/>
        </w:rPr>
        <w:t xml:space="preserve">fonctionnel au Mali (dans la ville de Sikasso), un Centre d’Enfouissement Technique pour Bamako est </w:t>
      </w:r>
      <w:r w:rsidR="00516E35" w:rsidRPr="007F37D7">
        <w:rPr>
          <w:rFonts w:asciiTheme="minorHAnsi" w:hAnsiTheme="minorHAnsi"/>
          <w:sz w:val="24"/>
          <w:szCs w:val="24"/>
        </w:rPr>
        <w:t xml:space="preserve">construit, réceptionné en partie, mais non mis en service, à telle enseigne que les installations réceptionnées sont en train de se dégrader. </w:t>
      </w:r>
      <w:r w:rsidR="007D5B02" w:rsidRPr="007F37D7">
        <w:rPr>
          <w:rFonts w:asciiTheme="minorHAnsi" w:hAnsiTheme="minorHAnsi"/>
          <w:sz w:val="24"/>
          <w:szCs w:val="24"/>
        </w:rPr>
        <w:t>La valorisation des déchets organiques et le recyclage des ordures sont des activités très peu développées.</w:t>
      </w:r>
      <w:r w:rsidR="001E7BCE" w:rsidRPr="007F37D7">
        <w:rPr>
          <w:rFonts w:asciiTheme="minorHAnsi" w:hAnsiTheme="minorHAnsi"/>
          <w:sz w:val="24"/>
          <w:szCs w:val="24"/>
        </w:rPr>
        <w:t xml:space="preserve"> De 2009 à nos jours, seuls cent </w:t>
      </w:r>
      <w:r w:rsidR="00453352" w:rsidRPr="007F37D7">
        <w:rPr>
          <w:rFonts w:asciiTheme="minorHAnsi" w:hAnsiTheme="minorHAnsi"/>
          <w:color w:val="FF0000"/>
          <w:sz w:val="24"/>
          <w:szCs w:val="24"/>
        </w:rPr>
        <w:t>soixante-six</w:t>
      </w:r>
      <w:r w:rsidR="001E7BCE" w:rsidRPr="007F37D7">
        <w:rPr>
          <w:rFonts w:asciiTheme="minorHAnsi" w:hAnsiTheme="minorHAnsi"/>
          <w:sz w:val="24"/>
          <w:szCs w:val="24"/>
        </w:rPr>
        <w:t xml:space="preserve"> (166) dépôts de transit et deux (2) décharges finales existent. Leur fonctionnalité n’est pas à hauteur de souhait. Très peu de familles dans les zones urbaines sont abonnées à un GIE pour le ramassage de leurs ordures ménagères</w:t>
      </w:r>
      <w:r w:rsidR="00104B7A" w:rsidRPr="007F37D7">
        <w:rPr>
          <w:rFonts w:asciiTheme="minorHAnsi" w:hAnsiTheme="minorHAnsi"/>
          <w:sz w:val="24"/>
          <w:szCs w:val="24"/>
        </w:rPr>
        <w:t>.</w:t>
      </w:r>
    </w:p>
    <w:p w:rsidR="00ED7401" w:rsidRPr="00A929CE" w:rsidRDefault="0092566A" w:rsidP="00A929CE">
      <w:pPr>
        <w:pStyle w:val="Titre2"/>
        <w:spacing w:line="360" w:lineRule="auto"/>
        <w:rPr>
          <w:rFonts w:asciiTheme="minorHAnsi" w:hAnsiTheme="minorHAnsi"/>
          <w:szCs w:val="24"/>
        </w:rPr>
      </w:pPr>
      <w:bookmarkStart w:id="30" w:name="_Toc536448587"/>
      <w:r w:rsidRPr="00A929CE">
        <w:rPr>
          <w:rFonts w:asciiTheme="minorHAnsi" w:hAnsiTheme="minorHAnsi"/>
          <w:szCs w:val="24"/>
        </w:rPr>
        <w:t>G</w:t>
      </w:r>
      <w:r w:rsidR="00ED7401" w:rsidRPr="00A929CE">
        <w:rPr>
          <w:rFonts w:asciiTheme="minorHAnsi" w:hAnsiTheme="minorHAnsi"/>
          <w:szCs w:val="24"/>
        </w:rPr>
        <w:t xml:space="preserve">estion des </w:t>
      </w:r>
      <w:r w:rsidR="007D68DB" w:rsidRPr="00A929CE">
        <w:rPr>
          <w:rFonts w:asciiTheme="minorHAnsi" w:hAnsiTheme="minorHAnsi"/>
          <w:szCs w:val="24"/>
        </w:rPr>
        <w:t>déchets liquides</w:t>
      </w:r>
      <w:bookmarkEnd w:id="30"/>
    </w:p>
    <w:p w:rsidR="0089348B" w:rsidRPr="00A929CE" w:rsidRDefault="00004549" w:rsidP="00A929CE">
      <w:pPr>
        <w:pStyle w:val="BodyText"/>
        <w:spacing w:line="360" w:lineRule="auto"/>
        <w:rPr>
          <w:rFonts w:asciiTheme="minorHAnsi" w:eastAsia="Times New Roman" w:hAnsiTheme="minorHAnsi" w:cstheme="minorHAnsi"/>
          <w:color w:val="000000"/>
          <w:sz w:val="24"/>
          <w:szCs w:val="24"/>
          <w:lang w:eastAsia="fr-FR"/>
        </w:rPr>
      </w:pPr>
      <w:r w:rsidRPr="00A929CE">
        <w:rPr>
          <w:rFonts w:asciiTheme="minorHAnsi" w:hAnsiTheme="minorHAnsi" w:cstheme="minorHAnsi"/>
          <w:sz w:val="24"/>
          <w:szCs w:val="24"/>
        </w:rPr>
        <w:t>La problématique de la gestion des déchets liquides, notamment dans les zones urbaines est restée entière. En dépit de la création de l’Agence Nationale de Gestion des Stations d’Epuration du Mali (ANGESEM) par ordonnance n°07-015/P-RM du 28 mars 2007 pour assurer la gestion durable des stations d’épuration des eaux usées et ouvrages annexes, le taux d’accès des populations maliennes à des services d’assainissement amélioré</w:t>
      </w:r>
      <w:r w:rsidR="00F90DAC">
        <w:rPr>
          <w:rFonts w:asciiTheme="minorHAnsi" w:hAnsiTheme="minorHAnsi" w:cstheme="minorHAnsi"/>
          <w:sz w:val="24"/>
          <w:szCs w:val="24"/>
        </w:rPr>
        <w:t xml:space="preserve"> n’a pas pu être rehaussé substantiellement</w:t>
      </w:r>
      <w:r w:rsidRPr="00A929CE">
        <w:rPr>
          <w:rFonts w:asciiTheme="minorHAnsi" w:hAnsiTheme="minorHAnsi" w:cstheme="minorHAnsi"/>
          <w:sz w:val="24"/>
          <w:szCs w:val="24"/>
        </w:rPr>
        <w:t>.</w:t>
      </w:r>
    </w:p>
    <w:p w:rsidR="0089348B" w:rsidRPr="00A929CE" w:rsidRDefault="001528A1" w:rsidP="00A929CE">
      <w:pPr>
        <w:pStyle w:val="BodyText"/>
        <w:spacing w:line="360" w:lineRule="auto"/>
        <w:rPr>
          <w:rFonts w:asciiTheme="minorHAnsi" w:hAnsiTheme="minorHAnsi" w:cstheme="minorHAnsi"/>
          <w:sz w:val="24"/>
          <w:szCs w:val="24"/>
        </w:rPr>
      </w:pPr>
      <w:r w:rsidRPr="00A929CE">
        <w:rPr>
          <w:rFonts w:asciiTheme="minorHAnsi" w:eastAsia="Times New Roman" w:hAnsiTheme="minorHAnsi" w:cstheme="minorHAnsi"/>
          <w:color w:val="000000"/>
          <w:sz w:val="24"/>
          <w:szCs w:val="24"/>
          <w:lang w:eastAsia="fr-FR"/>
        </w:rPr>
        <w:t xml:space="preserve">Pour le traitement des boues de vidange, il </w:t>
      </w:r>
      <w:r w:rsidR="00004549" w:rsidRPr="00A929CE">
        <w:rPr>
          <w:rFonts w:asciiTheme="minorHAnsi" w:eastAsia="Times New Roman" w:hAnsiTheme="minorHAnsi" w:cstheme="minorHAnsi"/>
          <w:color w:val="000000"/>
          <w:sz w:val="24"/>
          <w:szCs w:val="24"/>
          <w:lang w:eastAsia="fr-FR"/>
        </w:rPr>
        <w:t>n’existe aucun centre de dépotage ni à Bamako, ni dans les grandes villes. L</w:t>
      </w:r>
      <w:r w:rsidRPr="00A929CE">
        <w:rPr>
          <w:rFonts w:asciiTheme="minorHAnsi" w:eastAsia="Times New Roman" w:hAnsiTheme="minorHAnsi" w:cstheme="minorHAnsi"/>
          <w:color w:val="000000"/>
          <w:sz w:val="24"/>
          <w:szCs w:val="24"/>
          <w:lang w:eastAsia="fr-FR"/>
        </w:rPr>
        <w:t>es boues de vidange sont déversées soit dans la nature, soit dans les champs sans traitement préalable. Les eaux usées domestiques sont déversées dans les cours des maisons, dans les rues ou dans les caniveaux.</w:t>
      </w:r>
      <w:r w:rsidR="00004549" w:rsidRPr="00A929CE">
        <w:rPr>
          <w:rFonts w:asciiTheme="minorHAnsi" w:eastAsia="Times New Roman" w:hAnsiTheme="minorHAnsi" w:cstheme="minorHAnsi"/>
          <w:color w:val="000000"/>
          <w:sz w:val="24"/>
          <w:szCs w:val="24"/>
          <w:lang w:eastAsia="fr-FR"/>
        </w:rPr>
        <w:t xml:space="preserve"> Quant aux eaux </w:t>
      </w:r>
      <w:r w:rsidR="00004549" w:rsidRPr="00A929CE">
        <w:rPr>
          <w:rFonts w:asciiTheme="minorHAnsi" w:hAnsiTheme="minorHAnsi" w:cstheme="minorHAnsi"/>
          <w:sz w:val="24"/>
          <w:szCs w:val="24"/>
        </w:rPr>
        <w:t xml:space="preserve">résiduaires d’origine artisanale et industrielle, elles sont généralement déversées dans les caniveaux et les cours d’eau, sans traitement préalable. </w:t>
      </w:r>
      <w:r w:rsidR="00B32D7E" w:rsidRPr="00A929CE">
        <w:rPr>
          <w:rFonts w:asciiTheme="minorHAnsi" w:hAnsiTheme="minorHAnsi" w:cstheme="minorHAnsi"/>
          <w:sz w:val="24"/>
          <w:szCs w:val="24"/>
        </w:rPr>
        <w:t xml:space="preserve">Aujourd’hui, le Mali compte en tout et pour tout, 8 stations d’épuration des eaux usées, réparties comme suit : </w:t>
      </w:r>
    </w:p>
    <w:tbl>
      <w:tblPr>
        <w:tblStyle w:val="Grilledutableau"/>
        <w:tblW w:w="0" w:type="auto"/>
        <w:jc w:val="center"/>
        <w:tblLook w:val="04A0" w:firstRow="1" w:lastRow="0" w:firstColumn="1" w:lastColumn="0" w:noHBand="0" w:noVBand="1"/>
      </w:tblPr>
      <w:tblGrid>
        <w:gridCol w:w="2484"/>
        <w:gridCol w:w="2233"/>
        <w:gridCol w:w="2037"/>
        <w:gridCol w:w="1090"/>
        <w:gridCol w:w="1444"/>
      </w:tblGrid>
      <w:tr w:rsidR="00B32D7E" w:rsidRPr="00A929CE" w:rsidTr="00D54C69">
        <w:trPr>
          <w:jc w:val="center"/>
        </w:trPr>
        <w:tc>
          <w:tcPr>
            <w:tcW w:w="2518" w:type="dxa"/>
            <w:vMerge w:val="restart"/>
            <w:shd w:val="clear" w:color="auto" w:fill="FFC000"/>
          </w:tcPr>
          <w:p w:rsidR="00B32D7E" w:rsidRPr="00A929CE" w:rsidRDefault="00B32D7E" w:rsidP="00A929CE">
            <w:pPr>
              <w:spacing w:line="360" w:lineRule="auto"/>
              <w:jc w:val="center"/>
              <w:rPr>
                <w:rFonts w:asciiTheme="minorHAnsi" w:hAnsiTheme="minorHAnsi"/>
                <w:b/>
                <w:sz w:val="24"/>
                <w:szCs w:val="24"/>
              </w:rPr>
            </w:pPr>
            <w:r w:rsidRPr="00A929CE">
              <w:rPr>
                <w:rFonts w:asciiTheme="minorHAnsi" w:hAnsiTheme="minorHAnsi"/>
                <w:b/>
                <w:sz w:val="24"/>
                <w:szCs w:val="24"/>
              </w:rPr>
              <w:t>Désignation</w:t>
            </w:r>
          </w:p>
        </w:tc>
        <w:tc>
          <w:tcPr>
            <w:tcW w:w="2268" w:type="dxa"/>
            <w:vMerge w:val="restart"/>
            <w:shd w:val="clear" w:color="auto" w:fill="FFC000"/>
          </w:tcPr>
          <w:p w:rsidR="00B32D7E" w:rsidRPr="00A929CE" w:rsidRDefault="00B32D7E" w:rsidP="00A929CE">
            <w:pPr>
              <w:spacing w:line="360" w:lineRule="auto"/>
              <w:jc w:val="center"/>
              <w:rPr>
                <w:rFonts w:asciiTheme="minorHAnsi" w:hAnsiTheme="minorHAnsi"/>
                <w:b/>
                <w:sz w:val="24"/>
                <w:szCs w:val="24"/>
              </w:rPr>
            </w:pPr>
            <w:r w:rsidRPr="00A929CE">
              <w:rPr>
                <w:rFonts w:asciiTheme="minorHAnsi" w:hAnsiTheme="minorHAnsi"/>
                <w:b/>
                <w:sz w:val="24"/>
                <w:szCs w:val="24"/>
              </w:rPr>
              <w:t>Situation de référence</w:t>
            </w:r>
          </w:p>
          <w:p w:rsidR="00B32D7E" w:rsidRPr="00A929CE" w:rsidRDefault="00B32D7E" w:rsidP="00A929CE">
            <w:pPr>
              <w:spacing w:line="360" w:lineRule="auto"/>
              <w:jc w:val="center"/>
              <w:rPr>
                <w:rFonts w:asciiTheme="minorHAnsi" w:hAnsiTheme="minorHAnsi"/>
                <w:b/>
                <w:sz w:val="24"/>
                <w:szCs w:val="24"/>
              </w:rPr>
            </w:pPr>
            <w:r w:rsidRPr="00A929CE">
              <w:rPr>
                <w:rFonts w:asciiTheme="minorHAnsi" w:hAnsiTheme="minorHAnsi"/>
                <w:b/>
                <w:sz w:val="24"/>
                <w:szCs w:val="24"/>
              </w:rPr>
              <w:t>(2009)</w:t>
            </w:r>
          </w:p>
        </w:tc>
        <w:tc>
          <w:tcPr>
            <w:tcW w:w="2061" w:type="dxa"/>
            <w:vMerge w:val="restart"/>
            <w:shd w:val="clear" w:color="auto" w:fill="FFC000"/>
          </w:tcPr>
          <w:p w:rsidR="00B32D7E" w:rsidRPr="00A929CE" w:rsidRDefault="00B32D7E" w:rsidP="00A929CE">
            <w:pPr>
              <w:spacing w:line="360" w:lineRule="auto"/>
              <w:jc w:val="center"/>
              <w:rPr>
                <w:rFonts w:asciiTheme="minorHAnsi" w:hAnsiTheme="minorHAnsi"/>
                <w:b/>
                <w:sz w:val="24"/>
                <w:szCs w:val="24"/>
              </w:rPr>
            </w:pPr>
            <w:r w:rsidRPr="00A929CE">
              <w:rPr>
                <w:rFonts w:asciiTheme="minorHAnsi" w:hAnsiTheme="minorHAnsi"/>
                <w:b/>
                <w:sz w:val="24"/>
                <w:szCs w:val="24"/>
              </w:rPr>
              <w:t>Situation évaluative</w:t>
            </w:r>
          </w:p>
          <w:p w:rsidR="00B32D7E" w:rsidRPr="00A929CE" w:rsidRDefault="00B32D7E" w:rsidP="00A929CE">
            <w:pPr>
              <w:spacing w:line="360" w:lineRule="auto"/>
              <w:jc w:val="center"/>
              <w:rPr>
                <w:rFonts w:asciiTheme="minorHAnsi" w:hAnsiTheme="minorHAnsi"/>
                <w:b/>
                <w:sz w:val="24"/>
                <w:szCs w:val="24"/>
              </w:rPr>
            </w:pPr>
            <w:r w:rsidRPr="00A929CE">
              <w:rPr>
                <w:rFonts w:asciiTheme="minorHAnsi" w:hAnsiTheme="minorHAnsi"/>
                <w:b/>
                <w:sz w:val="24"/>
                <w:szCs w:val="24"/>
              </w:rPr>
              <w:t>(2017)</w:t>
            </w:r>
          </w:p>
        </w:tc>
        <w:tc>
          <w:tcPr>
            <w:tcW w:w="2441" w:type="dxa"/>
            <w:gridSpan w:val="2"/>
            <w:shd w:val="clear" w:color="auto" w:fill="FFC000"/>
          </w:tcPr>
          <w:p w:rsidR="00B32D7E" w:rsidRPr="00A929CE" w:rsidRDefault="00B32D7E" w:rsidP="00A929CE">
            <w:pPr>
              <w:spacing w:line="360" w:lineRule="auto"/>
              <w:jc w:val="center"/>
              <w:rPr>
                <w:rFonts w:asciiTheme="minorHAnsi" w:hAnsiTheme="minorHAnsi"/>
                <w:b/>
                <w:sz w:val="24"/>
                <w:szCs w:val="24"/>
              </w:rPr>
            </w:pPr>
            <w:r w:rsidRPr="00A929CE">
              <w:rPr>
                <w:rFonts w:asciiTheme="minorHAnsi" w:hAnsiTheme="minorHAnsi"/>
                <w:b/>
                <w:sz w:val="24"/>
                <w:szCs w:val="24"/>
              </w:rPr>
              <w:t>Accroissement</w:t>
            </w:r>
          </w:p>
        </w:tc>
      </w:tr>
      <w:tr w:rsidR="00B32D7E" w:rsidRPr="00A929CE" w:rsidTr="00D54C69">
        <w:trPr>
          <w:jc w:val="center"/>
        </w:trPr>
        <w:tc>
          <w:tcPr>
            <w:tcW w:w="2518" w:type="dxa"/>
            <w:vMerge/>
            <w:shd w:val="clear" w:color="auto" w:fill="FFC000"/>
          </w:tcPr>
          <w:p w:rsidR="00B32D7E" w:rsidRPr="00A929CE" w:rsidRDefault="00B32D7E" w:rsidP="00A929CE">
            <w:pPr>
              <w:spacing w:line="360" w:lineRule="auto"/>
              <w:jc w:val="both"/>
              <w:rPr>
                <w:rFonts w:asciiTheme="minorHAnsi" w:hAnsiTheme="minorHAnsi"/>
                <w:b/>
                <w:sz w:val="24"/>
                <w:szCs w:val="24"/>
              </w:rPr>
            </w:pPr>
          </w:p>
        </w:tc>
        <w:tc>
          <w:tcPr>
            <w:tcW w:w="2268" w:type="dxa"/>
            <w:vMerge/>
            <w:shd w:val="clear" w:color="auto" w:fill="FFC000"/>
          </w:tcPr>
          <w:p w:rsidR="00B32D7E" w:rsidRPr="00A929CE" w:rsidRDefault="00B32D7E" w:rsidP="00A929CE">
            <w:pPr>
              <w:spacing w:line="360" w:lineRule="auto"/>
              <w:jc w:val="both"/>
              <w:rPr>
                <w:rFonts w:asciiTheme="minorHAnsi" w:hAnsiTheme="minorHAnsi"/>
                <w:b/>
                <w:sz w:val="24"/>
                <w:szCs w:val="24"/>
              </w:rPr>
            </w:pPr>
          </w:p>
        </w:tc>
        <w:tc>
          <w:tcPr>
            <w:tcW w:w="2061" w:type="dxa"/>
            <w:vMerge/>
            <w:shd w:val="clear" w:color="auto" w:fill="FFC000"/>
          </w:tcPr>
          <w:p w:rsidR="00B32D7E" w:rsidRPr="00A929CE" w:rsidRDefault="00B32D7E" w:rsidP="00A929CE">
            <w:pPr>
              <w:spacing w:line="360" w:lineRule="auto"/>
              <w:jc w:val="both"/>
              <w:rPr>
                <w:rFonts w:asciiTheme="minorHAnsi" w:hAnsiTheme="minorHAnsi"/>
                <w:b/>
                <w:sz w:val="24"/>
                <w:szCs w:val="24"/>
              </w:rPr>
            </w:pPr>
          </w:p>
        </w:tc>
        <w:tc>
          <w:tcPr>
            <w:tcW w:w="1092" w:type="dxa"/>
            <w:shd w:val="clear" w:color="auto" w:fill="FFC000"/>
          </w:tcPr>
          <w:p w:rsidR="00B32D7E" w:rsidRPr="00A929CE" w:rsidRDefault="00B32D7E" w:rsidP="00A929CE">
            <w:pPr>
              <w:spacing w:line="360" w:lineRule="auto"/>
              <w:jc w:val="both"/>
              <w:rPr>
                <w:rFonts w:asciiTheme="minorHAnsi" w:hAnsiTheme="minorHAnsi"/>
                <w:b/>
                <w:sz w:val="24"/>
                <w:szCs w:val="24"/>
              </w:rPr>
            </w:pPr>
            <w:r w:rsidRPr="00A929CE">
              <w:rPr>
                <w:rFonts w:asciiTheme="minorHAnsi" w:hAnsiTheme="minorHAnsi"/>
                <w:b/>
                <w:sz w:val="24"/>
                <w:szCs w:val="24"/>
              </w:rPr>
              <w:t xml:space="preserve">Nombre </w:t>
            </w:r>
          </w:p>
        </w:tc>
        <w:tc>
          <w:tcPr>
            <w:tcW w:w="1349" w:type="dxa"/>
            <w:shd w:val="clear" w:color="auto" w:fill="FFC000"/>
          </w:tcPr>
          <w:p w:rsidR="00B32D7E" w:rsidRPr="00A929CE" w:rsidRDefault="00B32D7E" w:rsidP="00A929CE">
            <w:pPr>
              <w:spacing w:line="360" w:lineRule="auto"/>
              <w:jc w:val="both"/>
              <w:rPr>
                <w:rFonts w:asciiTheme="minorHAnsi" w:hAnsiTheme="minorHAnsi"/>
                <w:b/>
                <w:sz w:val="24"/>
                <w:szCs w:val="24"/>
              </w:rPr>
            </w:pPr>
            <w:r w:rsidRPr="00A929CE">
              <w:rPr>
                <w:rFonts w:asciiTheme="minorHAnsi" w:hAnsiTheme="minorHAnsi"/>
                <w:b/>
                <w:sz w:val="24"/>
                <w:szCs w:val="24"/>
              </w:rPr>
              <w:t xml:space="preserve">Pourcentage </w:t>
            </w:r>
          </w:p>
        </w:tc>
      </w:tr>
      <w:tr w:rsidR="00B32D7E" w:rsidRPr="00A929CE" w:rsidTr="004A6674">
        <w:trPr>
          <w:jc w:val="center"/>
        </w:trPr>
        <w:tc>
          <w:tcPr>
            <w:tcW w:w="2518" w:type="dxa"/>
          </w:tcPr>
          <w:p w:rsidR="00B32D7E" w:rsidRPr="001754BB" w:rsidRDefault="00B32D7E" w:rsidP="00A929CE">
            <w:pPr>
              <w:spacing w:line="360" w:lineRule="auto"/>
              <w:jc w:val="both"/>
              <w:rPr>
                <w:rFonts w:asciiTheme="minorHAnsi" w:hAnsiTheme="minorHAnsi"/>
                <w:sz w:val="24"/>
                <w:szCs w:val="24"/>
              </w:rPr>
            </w:pPr>
            <w:r w:rsidRPr="00B8772C">
              <w:rPr>
                <w:rFonts w:asciiTheme="minorHAnsi" w:hAnsiTheme="minorHAnsi"/>
                <w:sz w:val="24"/>
                <w:szCs w:val="24"/>
              </w:rPr>
              <w:t>Stations de traitement des eaux usées*</w:t>
            </w:r>
          </w:p>
        </w:tc>
        <w:tc>
          <w:tcPr>
            <w:tcW w:w="2268" w:type="dxa"/>
            <w:vAlign w:val="center"/>
          </w:tcPr>
          <w:p w:rsidR="00B32D7E" w:rsidRPr="00BC7FF5" w:rsidRDefault="00B32D7E" w:rsidP="00A929CE">
            <w:pPr>
              <w:spacing w:line="360" w:lineRule="auto"/>
              <w:jc w:val="center"/>
              <w:rPr>
                <w:rFonts w:asciiTheme="minorHAnsi" w:hAnsiTheme="minorHAnsi"/>
                <w:sz w:val="24"/>
                <w:szCs w:val="24"/>
              </w:rPr>
            </w:pPr>
            <w:r w:rsidRPr="001754BB">
              <w:rPr>
                <w:rFonts w:asciiTheme="minorHAnsi" w:hAnsiTheme="minorHAnsi"/>
                <w:b/>
                <w:sz w:val="24"/>
                <w:szCs w:val="24"/>
              </w:rPr>
              <w:t>2</w:t>
            </w:r>
            <w:r w:rsidRPr="00BC7FF5">
              <w:rPr>
                <w:rFonts w:asciiTheme="minorHAnsi" w:hAnsiTheme="minorHAnsi"/>
                <w:sz w:val="24"/>
                <w:szCs w:val="24"/>
              </w:rPr>
              <w:t>**</w:t>
            </w:r>
          </w:p>
        </w:tc>
        <w:tc>
          <w:tcPr>
            <w:tcW w:w="2061" w:type="dxa"/>
            <w:vAlign w:val="center"/>
          </w:tcPr>
          <w:p w:rsidR="00B32D7E" w:rsidRPr="0022409F" w:rsidRDefault="00B32D7E" w:rsidP="00A929CE">
            <w:pPr>
              <w:spacing w:line="360" w:lineRule="auto"/>
              <w:jc w:val="center"/>
              <w:rPr>
                <w:rFonts w:asciiTheme="minorHAnsi" w:hAnsiTheme="minorHAnsi"/>
                <w:sz w:val="24"/>
                <w:szCs w:val="24"/>
              </w:rPr>
            </w:pPr>
            <w:r w:rsidRPr="00BC7FF5">
              <w:rPr>
                <w:rFonts w:asciiTheme="minorHAnsi" w:hAnsiTheme="minorHAnsi"/>
                <w:b/>
                <w:sz w:val="24"/>
                <w:szCs w:val="24"/>
              </w:rPr>
              <w:t>8</w:t>
            </w:r>
            <w:r w:rsidRPr="0022409F">
              <w:rPr>
                <w:rFonts w:asciiTheme="minorHAnsi" w:hAnsiTheme="minorHAnsi"/>
                <w:sz w:val="24"/>
                <w:szCs w:val="24"/>
              </w:rPr>
              <w:t>***</w:t>
            </w:r>
          </w:p>
        </w:tc>
        <w:tc>
          <w:tcPr>
            <w:tcW w:w="1092" w:type="dxa"/>
            <w:vAlign w:val="center"/>
          </w:tcPr>
          <w:p w:rsidR="00B32D7E" w:rsidRPr="00112EE9" w:rsidRDefault="00B32D7E" w:rsidP="00A929CE">
            <w:pPr>
              <w:spacing w:line="360" w:lineRule="auto"/>
              <w:jc w:val="center"/>
              <w:rPr>
                <w:rFonts w:asciiTheme="minorHAnsi" w:hAnsiTheme="minorHAnsi"/>
                <w:b/>
                <w:sz w:val="24"/>
                <w:szCs w:val="24"/>
              </w:rPr>
            </w:pPr>
            <w:r w:rsidRPr="00112EE9">
              <w:rPr>
                <w:rFonts w:asciiTheme="minorHAnsi" w:hAnsiTheme="minorHAnsi"/>
                <w:b/>
                <w:sz w:val="24"/>
                <w:szCs w:val="24"/>
              </w:rPr>
              <w:t>6</w:t>
            </w:r>
          </w:p>
        </w:tc>
        <w:tc>
          <w:tcPr>
            <w:tcW w:w="1349" w:type="dxa"/>
            <w:vAlign w:val="center"/>
          </w:tcPr>
          <w:p w:rsidR="00B32D7E" w:rsidRPr="00112EE9" w:rsidRDefault="00B32D7E" w:rsidP="00A929CE">
            <w:pPr>
              <w:spacing w:line="360" w:lineRule="auto"/>
              <w:jc w:val="center"/>
              <w:rPr>
                <w:rFonts w:asciiTheme="minorHAnsi" w:hAnsiTheme="minorHAnsi"/>
                <w:sz w:val="24"/>
                <w:szCs w:val="24"/>
              </w:rPr>
            </w:pPr>
            <w:r w:rsidRPr="00112EE9">
              <w:rPr>
                <w:rFonts w:asciiTheme="minorHAnsi" w:hAnsiTheme="minorHAnsi"/>
                <w:sz w:val="24"/>
                <w:szCs w:val="24"/>
              </w:rPr>
              <w:t>-</w:t>
            </w:r>
          </w:p>
        </w:tc>
      </w:tr>
    </w:tbl>
    <w:p w:rsidR="00B32D7E" w:rsidRPr="00A929CE" w:rsidRDefault="00B32D7E" w:rsidP="00A929CE">
      <w:pPr>
        <w:spacing w:line="360" w:lineRule="auto"/>
        <w:jc w:val="both"/>
        <w:rPr>
          <w:rFonts w:asciiTheme="minorHAnsi" w:hAnsiTheme="minorHAnsi"/>
          <w:sz w:val="24"/>
          <w:szCs w:val="24"/>
        </w:rPr>
      </w:pPr>
    </w:p>
    <w:p w:rsidR="00B32D7E" w:rsidRPr="00A929CE" w:rsidRDefault="00B32D7E" w:rsidP="00A929CE">
      <w:pPr>
        <w:spacing w:line="360" w:lineRule="auto"/>
        <w:jc w:val="both"/>
        <w:rPr>
          <w:rFonts w:asciiTheme="minorHAnsi" w:hAnsiTheme="minorHAnsi"/>
          <w:sz w:val="24"/>
          <w:szCs w:val="24"/>
        </w:rPr>
      </w:pPr>
      <w:r w:rsidRPr="00A929CE">
        <w:rPr>
          <w:rFonts w:asciiTheme="minorHAnsi" w:hAnsiTheme="minorHAnsi"/>
          <w:sz w:val="24"/>
          <w:szCs w:val="24"/>
        </w:rPr>
        <w:t>En plus de celles de la situation de référence, six (6) nouvelles stations ont été construites :</w:t>
      </w:r>
    </w:p>
    <w:p w:rsidR="00B32D7E" w:rsidRPr="00A929CE" w:rsidRDefault="00B32D7E" w:rsidP="00A929CE">
      <w:pPr>
        <w:spacing w:line="360" w:lineRule="auto"/>
        <w:jc w:val="both"/>
        <w:rPr>
          <w:rFonts w:asciiTheme="minorHAnsi" w:hAnsiTheme="minorHAnsi"/>
          <w:sz w:val="24"/>
          <w:szCs w:val="24"/>
        </w:rPr>
      </w:pPr>
    </w:p>
    <w:tbl>
      <w:tblPr>
        <w:tblStyle w:val="Grilledutableau"/>
        <w:tblW w:w="0" w:type="auto"/>
        <w:jc w:val="center"/>
        <w:tblLook w:val="04A0" w:firstRow="1" w:lastRow="0" w:firstColumn="1" w:lastColumn="0" w:noHBand="0" w:noVBand="1"/>
      </w:tblPr>
      <w:tblGrid>
        <w:gridCol w:w="6495"/>
        <w:gridCol w:w="2793"/>
      </w:tblGrid>
      <w:tr w:rsidR="00B32D7E" w:rsidRPr="00A929CE" w:rsidTr="00D54C69">
        <w:trPr>
          <w:jc w:val="center"/>
        </w:trPr>
        <w:tc>
          <w:tcPr>
            <w:tcW w:w="6521" w:type="dxa"/>
            <w:shd w:val="clear" w:color="auto" w:fill="7EC492" w:themeFill="accent5" w:themeFillTint="99"/>
          </w:tcPr>
          <w:p w:rsidR="00B32D7E" w:rsidRPr="001754BB" w:rsidRDefault="00B32D7E" w:rsidP="00A929CE">
            <w:pPr>
              <w:pStyle w:val="Paragraphedeliste"/>
              <w:spacing w:line="360" w:lineRule="auto"/>
              <w:ind w:left="0"/>
              <w:jc w:val="both"/>
              <w:rPr>
                <w:rFonts w:asciiTheme="minorHAnsi" w:hAnsiTheme="minorHAnsi"/>
                <w:b/>
                <w:sz w:val="24"/>
                <w:szCs w:val="24"/>
              </w:rPr>
            </w:pPr>
            <w:r w:rsidRPr="00B8772C">
              <w:rPr>
                <w:rFonts w:asciiTheme="minorHAnsi" w:hAnsiTheme="minorHAnsi"/>
                <w:b/>
                <w:sz w:val="24"/>
                <w:szCs w:val="24"/>
              </w:rPr>
              <w:t>Stations de traitement</w:t>
            </w:r>
          </w:p>
        </w:tc>
        <w:tc>
          <w:tcPr>
            <w:tcW w:w="2801" w:type="dxa"/>
            <w:shd w:val="clear" w:color="auto" w:fill="7EC492" w:themeFill="accent5" w:themeFillTint="99"/>
          </w:tcPr>
          <w:p w:rsidR="00B32D7E" w:rsidRPr="00BC7FF5" w:rsidRDefault="00B32D7E" w:rsidP="00A929CE">
            <w:pPr>
              <w:pStyle w:val="Paragraphedeliste"/>
              <w:spacing w:line="360" w:lineRule="auto"/>
              <w:ind w:left="0"/>
              <w:jc w:val="both"/>
              <w:rPr>
                <w:rFonts w:asciiTheme="minorHAnsi" w:hAnsiTheme="minorHAnsi"/>
                <w:b/>
                <w:sz w:val="24"/>
                <w:szCs w:val="24"/>
              </w:rPr>
            </w:pPr>
            <w:r w:rsidRPr="001754BB">
              <w:rPr>
                <w:rFonts w:asciiTheme="minorHAnsi" w:hAnsiTheme="minorHAnsi"/>
                <w:b/>
                <w:sz w:val="24"/>
                <w:szCs w:val="24"/>
              </w:rPr>
              <w:t>Nature des eau</w:t>
            </w:r>
            <w:r w:rsidRPr="00BC7FF5">
              <w:rPr>
                <w:rFonts w:asciiTheme="minorHAnsi" w:hAnsiTheme="minorHAnsi"/>
                <w:b/>
                <w:sz w:val="24"/>
                <w:szCs w:val="24"/>
              </w:rPr>
              <w:t>x traitées</w:t>
            </w:r>
          </w:p>
        </w:tc>
      </w:tr>
      <w:tr w:rsidR="00B32D7E" w:rsidRPr="00A929CE" w:rsidTr="004A6674">
        <w:trPr>
          <w:jc w:val="center"/>
        </w:trPr>
        <w:tc>
          <w:tcPr>
            <w:tcW w:w="6521" w:type="dxa"/>
          </w:tcPr>
          <w:p w:rsidR="00B32D7E" w:rsidRPr="001754BB" w:rsidRDefault="00B32D7E" w:rsidP="00A929CE">
            <w:pPr>
              <w:pStyle w:val="Paragraphedeliste"/>
              <w:spacing w:line="360" w:lineRule="auto"/>
              <w:ind w:left="0"/>
              <w:jc w:val="both"/>
              <w:rPr>
                <w:rFonts w:asciiTheme="minorHAnsi" w:hAnsiTheme="minorHAnsi"/>
                <w:sz w:val="24"/>
                <w:szCs w:val="24"/>
              </w:rPr>
            </w:pPr>
            <w:r w:rsidRPr="00B8772C">
              <w:rPr>
                <w:rFonts w:asciiTheme="minorHAnsi" w:hAnsiTheme="minorHAnsi"/>
                <w:sz w:val="24"/>
                <w:szCs w:val="24"/>
              </w:rPr>
              <w:t>Cité administrative de Bamako</w:t>
            </w:r>
          </w:p>
        </w:tc>
        <w:tc>
          <w:tcPr>
            <w:tcW w:w="2801" w:type="dxa"/>
          </w:tcPr>
          <w:p w:rsidR="00B32D7E" w:rsidRPr="001754BB" w:rsidRDefault="00B32D7E" w:rsidP="00A929CE">
            <w:pPr>
              <w:pStyle w:val="Paragraphedeliste"/>
              <w:spacing w:line="360" w:lineRule="auto"/>
              <w:ind w:left="0"/>
              <w:jc w:val="both"/>
              <w:rPr>
                <w:rFonts w:asciiTheme="minorHAnsi" w:hAnsiTheme="minorHAnsi"/>
                <w:sz w:val="24"/>
                <w:szCs w:val="24"/>
              </w:rPr>
            </w:pPr>
            <w:r w:rsidRPr="001754BB">
              <w:rPr>
                <w:rFonts w:asciiTheme="minorHAnsi" w:hAnsiTheme="minorHAnsi"/>
                <w:sz w:val="24"/>
                <w:szCs w:val="24"/>
              </w:rPr>
              <w:t xml:space="preserve">Domestique </w:t>
            </w:r>
          </w:p>
        </w:tc>
      </w:tr>
      <w:tr w:rsidR="00B32D7E" w:rsidRPr="00A929CE" w:rsidTr="004A6674">
        <w:trPr>
          <w:jc w:val="center"/>
        </w:trPr>
        <w:tc>
          <w:tcPr>
            <w:tcW w:w="6521" w:type="dxa"/>
          </w:tcPr>
          <w:p w:rsidR="00B32D7E" w:rsidRPr="001754BB" w:rsidRDefault="00B32D7E" w:rsidP="00A929CE">
            <w:pPr>
              <w:pStyle w:val="Paragraphedeliste"/>
              <w:spacing w:line="360" w:lineRule="auto"/>
              <w:ind w:left="0"/>
              <w:jc w:val="both"/>
              <w:rPr>
                <w:rFonts w:asciiTheme="minorHAnsi" w:hAnsiTheme="minorHAnsi"/>
                <w:sz w:val="24"/>
                <w:szCs w:val="24"/>
              </w:rPr>
            </w:pPr>
            <w:r w:rsidRPr="00B8772C">
              <w:rPr>
                <w:rFonts w:asciiTheme="minorHAnsi" w:hAnsiTheme="minorHAnsi"/>
                <w:sz w:val="24"/>
                <w:szCs w:val="24"/>
              </w:rPr>
              <w:t>Aéroport Président Modibo KEÏTA</w:t>
            </w:r>
          </w:p>
        </w:tc>
        <w:tc>
          <w:tcPr>
            <w:tcW w:w="2801" w:type="dxa"/>
          </w:tcPr>
          <w:p w:rsidR="00B32D7E" w:rsidRPr="001754BB" w:rsidRDefault="00B32D7E" w:rsidP="00A929CE">
            <w:pPr>
              <w:pStyle w:val="Paragraphedeliste"/>
              <w:spacing w:line="360" w:lineRule="auto"/>
              <w:ind w:left="0"/>
              <w:jc w:val="both"/>
              <w:rPr>
                <w:rFonts w:asciiTheme="minorHAnsi" w:hAnsiTheme="minorHAnsi"/>
                <w:sz w:val="24"/>
                <w:szCs w:val="24"/>
              </w:rPr>
            </w:pPr>
            <w:r w:rsidRPr="001754BB">
              <w:rPr>
                <w:rFonts w:asciiTheme="minorHAnsi" w:hAnsiTheme="minorHAnsi"/>
                <w:sz w:val="24"/>
                <w:szCs w:val="24"/>
              </w:rPr>
              <w:t xml:space="preserve">Domestique </w:t>
            </w:r>
          </w:p>
        </w:tc>
      </w:tr>
      <w:tr w:rsidR="00B32D7E" w:rsidRPr="00A929CE" w:rsidTr="004A6674">
        <w:trPr>
          <w:jc w:val="center"/>
        </w:trPr>
        <w:tc>
          <w:tcPr>
            <w:tcW w:w="6521" w:type="dxa"/>
          </w:tcPr>
          <w:p w:rsidR="00B32D7E" w:rsidRPr="001754BB" w:rsidRDefault="00B32D7E" w:rsidP="00A929CE">
            <w:pPr>
              <w:pStyle w:val="Paragraphedeliste"/>
              <w:spacing w:line="360" w:lineRule="auto"/>
              <w:ind w:left="0"/>
              <w:jc w:val="both"/>
              <w:rPr>
                <w:rFonts w:asciiTheme="minorHAnsi" w:hAnsiTheme="minorHAnsi"/>
                <w:sz w:val="24"/>
                <w:szCs w:val="24"/>
              </w:rPr>
            </w:pPr>
            <w:r w:rsidRPr="00B8772C">
              <w:rPr>
                <w:rFonts w:asciiTheme="minorHAnsi" w:hAnsiTheme="minorHAnsi"/>
                <w:sz w:val="24"/>
                <w:szCs w:val="24"/>
              </w:rPr>
              <w:t>Zone industrielle de Sotuba</w:t>
            </w:r>
          </w:p>
        </w:tc>
        <w:tc>
          <w:tcPr>
            <w:tcW w:w="2801" w:type="dxa"/>
          </w:tcPr>
          <w:p w:rsidR="00B32D7E" w:rsidRPr="001754BB" w:rsidRDefault="00B32D7E" w:rsidP="00A929CE">
            <w:pPr>
              <w:pStyle w:val="Paragraphedeliste"/>
              <w:spacing w:line="360" w:lineRule="auto"/>
              <w:ind w:left="0"/>
              <w:jc w:val="both"/>
              <w:rPr>
                <w:rFonts w:asciiTheme="minorHAnsi" w:hAnsiTheme="minorHAnsi"/>
                <w:sz w:val="24"/>
                <w:szCs w:val="24"/>
              </w:rPr>
            </w:pPr>
            <w:r w:rsidRPr="001754BB">
              <w:rPr>
                <w:rFonts w:asciiTheme="minorHAnsi" w:hAnsiTheme="minorHAnsi"/>
                <w:sz w:val="24"/>
                <w:szCs w:val="24"/>
              </w:rPr>
              <w:t xml:space="preserve">Industrielle </w:t>
            </w:r>
          </w:p>
        </w:tc>
      </w:tr>
      <w:tr w:rsidR="00B32D7E" w:rsidRPr="00A929CE" w:rsidTr="004A6674">
        <w:trPr>
          <w:jc w:val="center"/>
        </w:trPr>
        <w:tc>
          <w:tcPr>
            <w:tcW w:w="6521" w:type="dxa"/>
          </w:tcPr>
          <w:p w:rsidR="00B32D7E" w:rsidRPr="001754BB" w:rsidRDefault="00B32D7E" w:rsidP="00A929CE">
            <w:pPr>
              <w:pStyle w:val="Paragraphedeliste"/>
              <w:spacing w:line="360" w:lineRule="auto"/>
              <w:ind w:left="0"/>
              <w:jc w:val="both"/>
              <w:rPr>
                <w:rFonts w:asciiTheme="minorHAnsi" w:hAnsiTheme="minorHAnsi"/>
                <w:sz w:val="24"/>
                <w:szCs w:val="24"/>
              </w:rPr>
            </w:pPr>
            <w:r w:rsidRPr="00B8772C">
              <w:rPr>
                <w:rFonts w:asciiTheme="minorHAnsi" w:hAnsiTheme="minorHAnsi"/>
                <w:sz w:val="24"/>
                <w:szCs w:val="24"/>
              </w:rPr>
              <w:t>Hôpital du Point G</w:t>
            </w:r>
          </w:p>
        </w:tc>
        <w:tc>
          <w:tcPr>
            <w:tcW w:w="2801" w:type="dxa"/>
          </w:tcPr>
          <w:p w:rsidR="00B32D7E" w:rsidRPr="001754BB" w:rsidRDefault="00B32D7E" w:rsidP="00A929CE">
            <w:pPr>
              <w:pStyle w:val="Paragraphedeliste"/>
              <w:spacing w:line="360" w:lineRule="auto"/>
              <w:ind w:left="0"/>
              <w:jc w:val="both"/>
              <w:rPr>
                <w:rFonts w:asciiTheme="minorHAnsi" w:hAnsiTheme="minorHAnsi"/>
                <w:sz w:val="24"/>
                <w:szCs w:val="24"/>
              </w:rPr>
            </w:pPr>
            <w:r w:rsidRPr="001754BB">
              <w:rPr>
                <w:rFonts w:asciiTheme="minorHAnsi" w:hAnsiTheme="minorHAnsi"/>
                <w:sz w:val="24"/>
                <w:szCs w:val="24"/>
              </w:rPr>
              <w:t xml:space="preserve">Sanitaire </w:t>
            </w:r>
          </w:p>
        </w:tc>
      </w:tr>
      <w:tr w:rsidR="00B32D7E" w:rsidRPr="00A929CE" w:rsidTr="004A6674">
        <w:trPr>
          <w:jc w:val="center"/>
        </w:trPr>
        <w:tc>
          <w:tcPr>
            <w:tcW w:w="6521" w:type="dxa"/>
          </w:tcPr>
          <w:p w:rsidR="00B32D7E" w:rsidRPr="001754BB" w:rsidRDefault="00B32D7E" w:rsidP="00A929CE">
            <w:pPr>
              <w:pStyle w:val="Paragraphedeliste"/>
              <w:spacing w:line="360" w:lineRule="auto"/>
              <w:ind w:left="0"/>
              <w:jc w:val="both"/>
              <w:rPr>
                <w:rFonts w:asciiTheme="minorHAnsi" w:hAnsiTheme="minorHAnsi"/>
                <w:sz w:val="24"/>
                <w:szCs w:val="24"/>
              </w:rPr>
            </w:pPr>
            <w:r w:rsidRPr="00B8772C">
              <w:rPr>
                <w:rFonts w:asciiTheme="minorHAnsi" w:hAnsiTheme="minorHAnsi"/>
                <w:sz w:val="24"/>
                <w:szCs w:val="24"/>
              </w:rPr>
              <w:t xml:space="preserve">Hôpital du Centre </w:t>
            </w:r>
            <w:r w:rsidRPr="001754BB">
              <w:rPr>
                <w:rFonts w:asciiTheme="minorHAnsi" w:hAnsiTheme="minorHAnsi"/>
                <w:sz w:val="24"/>
                <w:szCs w:val="24"/>
              </w:rPr>
              <w:t>National de lutte contre la Maladie (CNAM)</w:t>
            </w:r>
          </w:p>
        </w:tc>
        <w:tc>
          <w:tcPr>
            <w:tcW w:w="2801" w:type="dxa"/>
          </w:tcPr>
          <w:p w:rsidR="00B32D7E" w:rsidRPr="001754BB" w:rsidRDefault="00B32D7E" w:rsidP="00A929CE">
            <w:pPr>
              <w:pStyle w:val="Paragraphedeliste"/>
              <w:spacing w:line="360" w:lineRule="auto"/>
              <w:ind w:left="0"/>
              <w:jc w:val="both"/>
              <w:rPr>
                <w:rFonts w:asciiTheme="minorHAnsi" w:hAnsiTheme="minorHAnsi"/>
                <w:sz w:val="24"/>
                <w:szCs w:val="24"/>
              </w:rPr>
            </w:pPr>
            <w:r w:rsidRPr="001754BB">
              <w:rPr>
                <w:rFonts w:asciiTheme="minorHAnsi" w:hAnsiTheme="minorHAnsi"/>
                <w:sz w:val="24"/>
                <w:szCs w:val="24"/>
              </w:rPr>
              <w:t xml:space="preserve">Sanitaire </w:t>
            </w:r>
          </w:p>
        </w:tc>
      </w:tr>
      <w:tr w:rsidR="00B32D7E" w:rsidRPr="00A929CE" w:rsidTr="004A6674">
        <w:trPr>
          <w:jc w:val="center"/>
        </w:trPr>
        <w:tc>
          <w:tcPr>
            <w:tcW w:w="6521" w:type="dxa"/>
          </w:tcPr>
          <w:p w:rsidR="00B32D7E" w:rsidRPr="001754BB" w:rsidRDefault="00B32D7E" w:rsidP="00A929CE">
            <w:pPr>
              <w:pStyle w:val="Paragraphedeliste"/>
              <w:spacing w:line="360" w:lineRule="auto"/>
              <w:ind w:left="0"/>
              <w:jc w:val="both"/>
              <w:rPr>
                <w:rFonts w:asciiTheme="minorHAnsi" w:hAnsiTheme="minorHAnsi"/>
                <w:sz w:val="24"/>
                <w:szCs w:val="24"/>
              </w:rPr>
            </w:pPr>
            <w:r w:rsidRPr="00B8772C">
              <w:rPr>
                <w:rFonts w:asciiTheme="minorHAnsi" w:hAnsiTheme="minorHAnsi"/>
                <w:sz w:val="24"/>
                <w:szCs w:val="24"/>
              </w:rPr>
              <w:t>Hôpital de Sikasso</w:t>
            </w:r>
          </w:p>
        </w:tc>
        <w:tc>
          <w:tcPr>
            <w:tcW w:w="2801" w:type="dxa"/>
          </w:tcPr>
          <w:p w:rsidR="00B32D7E" w:rsidRPr="001754BB" w:rsidRDefault="00B32D7E" w:rsidP="00A929CE">
            <w:pPr>
              <w:pStyle w:val="Paragraphedeliste"/>
              <w:spacing w:line="360" w:lineRule="auto"/>
              <w:ind w:left="0"/>
              <w:jc w:val="both"/>
              <w:rPr>
                <w:rFonts w:asciiTheme="minorHAnsi" w:hAnsiTheme="minorHAnsi"/>
                <w:sz w:val="24"/>
                <w:szCs w:val="24"/>
              </w:rPr>
            </w:pPr>
            <w:r w:rsidRPr="001754BB">
              <w:rPr>
                <w:rFonts w:asciiTheme="minorHAnsi" w:hAnsiTheme="minorHAnsi"/>
                <w:sz w:val="24"/>
                <w:szCs w:val="24"/>
              </w:rPr>
              <w:t xml:space="preserve">Sanitaire </w:t>
            </w:r>
          </w:p>
        </w:tc>
      </w:tr>
    </w:tbl>
    <w:p w:rsidR="00B32D7E" w:rsidRPr="00A929CE" w:rsidRDefault="00D34BEE" w:rsidP="00B8772C">
      <w:pPr>
        <w:pStyle w:val="BodyText"/>
        <w:spacing w:line="360" w:lineRule="auto"/>
        <w:rPr>
          <w:rFonts w:asciiTheme="minorHAnsi" w:hAnsiTheme="minorHAnsi"/>
          <w:sz w:val="24"/>
          <w:szCs w:val="24"/>
        </w:rPr>
      </w:pPr>
      <w:r w:rsidRPr="00B8772C">
        <w:rPr>
          <w:rFonts w:asciiTheme="minorHAnsi" w:hAnsiTheme="minorHAnsi" w:cstheme="minorHAnsi"/>
          <w:sz w:val="24"/>
          <w:szCs w:val="24"/>
        </w:rPr>
        <w:t>Quelques réseaux de « mini égouts », construis dans les années 2000 ne sont plus fonctionnels faute de maintenance et d’entretiens.</w:t>
      </w:r>
      <w:r w:rsidRPr="001754BB">
        <w:rPr>
          <w:rFonts w:asciiTheme="minorHAnsi" w:hAnsiTheme="minorHAnsi"/>
          <w:sz w:val="24"/>
          <w:szCs w:val="24"/>
        </w:rPr>
        <w:t xml:space="preserve"> En milieu rural</w:t>
      </w:r>
      <w:r w:rsidR="00C14955" w:rsidRPr="001754BB">
        <w:rPr>
          <w:rFonts w:asciiTheme="minorHAnsi" w:hAnsiTheme="minorHAnsi"/>
          <w:sz w:val="24"/>
          <w:szCs w:val="24"/>
        </w:rPr>
        <w:t>,</w:t>
      </w:r>
      <w:r w:rsidR="002C34D3">
        <w:rPr>
          <w:rFonts w:asciiTheme="minorHAnsi" w:hAnsiTheme="minorHAnsi"/>
          <w:sz w:val="24"/>
          <w:szCs w:val="24"/>
        </w:rPr>
        <w:t xml:space="preserve"> </w:t>
      </w:r>
      <w:r w:rsidR="00C14955" w:rsidRPr="00BC7FF5">
        <w:rPr>
          <w:rFonts w:asciiTheme="minorHAnsi" w:hAnsiTheme="minorHAnsi"/>
          <w:sz w:val="24"/>
          <w:szCs w:val="24"/>
        </w:rPr>
        <w:t>l</w:t>
      </w:r>
      <w:r w:rsidRPr="00BC7FF5">
        <w:rPr>
          <w:rFonts w:asciiTheme="minorHAnsi" w:hAnsiTheme="minorHAnsi"/>
          <w:sz w:val="24"/>
          <w:szCs w:val="24"/>
        </w:rPr>
        <w:t xml:space="preserve">a défécation dans la nature, même si elle a diminué grâce à l’ATPC, reste toujours </w:t>
      </w:r>
      <w:r w:rsidR="00C14955" w:rsidRPr="0022409F">
        <w:rPr>
          <w:rFonts w:asciiTheme="minorHAnsi" w:hAnsiTheme="minorHAnsi"/>
          <w:sz w:val="24"/>
          <w:szCs w:val="24"/>
        </w:rPr>
        <w:t>pratiquée (a</w:t>
      </w:r>
      <w:r w:rsidRPr="0022409F">
        <w:rPr>
          <w:rFonts w:asciiTheme="minorHAnsi" w:hAnsiTheme="minorHAnsi"/>
          <w:sz w:val="24"/>
          <w:szCs w:val="24"/>
        </w:rPr>
        <w:t xml:space="preserve">ujourd’hui, </w:t>
      </w:r>
      <w:r w:rsidR="00C22C80">
        <w:rPr>
          <w:rFonts w:asciiTheme="minorHAnsi" w:hAnsiTheme="minorHAnsi"/>
          <w:sz w:val="24"/>
          <w:szCs w:val="24"/>
        </w:rPr>
        <w:t xml:space="preserve">encore </w:t>
      </w:r>
      <w:r w:rsidRPr="0022409F">
        <w:rPr>
          <w:rFonts w:asciiTheme="minorHAnsi" w:hAnsiTheme="minorHAnsi"/>
          <w:sz w:val="24"/>
          <w:szCs w:val="24"/>
        </w:rPr>
        <w:t xml:space="preserve">treize pour cent </w:t>
      </w:r>
      <w:r w:rsidR="00275A95" w:rsidRPr="00305208">
        <w:rPr>
          <w:rFonts w:asciiTheme="minorHAnsi" w:hAnsiTheme="minorHAnsi"/>
          <w:sz w:val="24"/>
          <w:szCs w:val="24"/>
        </w:rPr>
        <w:t xml:space="preserve">(13%) </w:t>
      </w:r>
      <w:r w:rsidRPr="00305208">
        <w:rPr>
          <w:rFonts w:asciiTheme="minorHAnsi" w:hAnsiTheme="minorHAnsi"/>
          <w:sz w:val="24"/>
          <w:szCs w:val="24"/>
        </w:rPr>
        <w:t>de la population rurale pratiquent la défécation à l’air libre</w:t>
      </w:r>
      <w:r w:rsidR="00C14955" w:rsidRPr="00112EE9">
        <w:rPr>
          <w:rFonts w:asciiTheme="minorHAnsi" w:hAnsiTheme="minorHAnsi"/>
          <w:sz w:val="24"/>
          <w:szCs w:val="24"/>
        </w:rPr>
        <w:t>)</w:t>
      </w:r>
      <w:r w:rsidRPr="00112EE9">
        <w:rPr>
          <w:rFonts w:asciiTheme="minorHAnsi" w:hAnsiTheme="minorHAnsi"/>
          <w:sz w:val="24"/>
          <w:szCs w:val="24"/>
        </w:rPr>
        <w:t xml:space="preserve">. Si la majorité des ménages en milieu urbain possède un ouvrage d’assainissement autonome, force est de reconnaître que la majorité </w:t>
      </w:r>
      <w:r w:rsidR="00C14955" w:rsidRPr="00112EE9">
        <w:rPr>
          <w:rFonts w:asciiTheme="minorHAnsi" w:hAnsiTheme="minorHAnsi"/>
          <w:sz w:val="24"/>
          <w:szCs w:val="24"/>
        </w:rPr>
        <w:t xml:space="preserve">de ces ouvrages </w:t>
      </w:r>
      <w:r w:rsidRPr="00D863B8">
        <w:rPr>
          <w:rFonts w:asciiTheme="minorHAnsi" w:hAnsiTheme="minorHAnsi"/>
          <w:sz w:val="24"/>
          <w:szCs w:val="24"/>
        </w:rPr>
        <w:t>ne répond pas aux normes techniques éditées par l’OMS</w:t>
      </w:r>
      <w:r w:rsidR="00C22C80">
        <w:rPr>
          <w:rFonts w:asciiTheme="minorHAnsi" w:hAnsiTheme="minorHAnsi"/>
          <w:sz w:val="24"/>
          <w:szCs w:val="24"/>
        </w:rPr>
        <w:t xml:space="preserve">, encore moins </w:t>
      </w:r>
      <w:r w:rsidRPr="00D863B8">
        <w:rPr>
          <w:rFonts w:asciiTheme="minorHAnsi" w:hAnsiTheme="minorHAnsi"/>
          <w:sz w:val="24"/>
          <w:szCs w:val="24"/>
        </w:rPr>
        <w:t xml:space="preserve"> aux critères </w:t>
      </w:r>
      <w:r w:rsidR="00B32D7E" w:rsidRPr="00A929CE">
        <w:rPr>
          <w:rFonts w:asciiTheme="minorHAnsi" w:hAnsiTheme="minorHAnsi"/>
          <w:sz w:val="24"/>
          <w:szCs w:val="24"/>
        </w:rPr>
        <w:t xml:space="preserve"> des </w:t>
      </w:r>
      <w:r w:rsidRPr="00A929CE">
        <w:rPr>
          <w:rFonts w:asciiTheme="minorHAnsi" w:hAnsiTheme="minorHAnsi"/>
          <w:sz w:val="24"/>
          <w:szCs w:val="24"/>
        </w:rPr>
        <w:t>OMD</w:t>
      </w:r>
      <w:r w:rsidR="00B32D7E" w:rsidRPr="00A929CE">
        <w:rPr>
          <w:rFonts w:asciiTheme="minorHAnsi" w:hAnsiTheme="minorHAnsi"/>
          <w:sz w:val="24"/>
          <w:szCs w:val="24"/>
        </w:rPr>
        <w:t xml:space="preserve">, </w:t>
      </w:r>
      <w:r w:rsidR="00C22C80">
        <w:rPr>
          <w:rFonts w:asciiTheme="minorHAnsi" w:hAnsiTheme="minorHAnsi"/>
          <w:sz w:val="24"/>
          <w:szCs w:val="24"/>
        </w:rPr>
        <w:t xml:space="preserve">ou </w:t>
      </w:r>
      <w:r w:rsidR="00B32D7E" w:rsidRPr="00A929CE">
        <w:rPr>
          <w:rFonts w:asciiTheme="minorHAnsi" w:hAnsiTheme="minorHAnsi"/>
          <w:sz w:val="24"/>
          <w:szCs w:val="24"/>
        </w:rPr>
        <w:t xml:space="preserve"> des ODD</w:t>
      </w:r>
      <w:r w:rsidRPr="00A929CE">
        <w:rPr>
          <w:rFonts w:asciiTheme="minorHAnsi" w:hAnsiTheme="minorHAnsi"/>
          <w:sz w:val="24"/>
          <w:szCs w:val="24"/>
        </w:rPr>
        <w:t xml:space="preserve">. </w:t>
      </w:r>
    </w:p>
    <w:p w:rsidR="00C602E5" w:rsidRPr="00A929CE" w:rsidRDefault="00C14955" w:rsidP="00B8772C">
      <w:pPr>
        <w:pStyle w:val="BodyText"/>
        <w:spacing w:line="360" w:lineRule="auto"/>
        <w:rPr>
          <w:rFonts w:asciiTheme="minorHAnsi" w:hAnsiTheme="minorHAnsi" w:cstheme="minorHAnsi"/>
          <w:sz w:val="24"/>
          <w:szCs w:val="24"/>
        </w:rPr>
      </w:pPr>
      <w:r w:rsidRPr="00A929CE">
        <w:rPr>
          <w:rFonts w:asciiTheme="minorHAnsi" w:hAnsiTheme="minorHAnsi" w:cstheme="minorHAnsi"/>
          <w:sz w:val="24"/>
          <w:szCs w:val="24"/>
        </w:rPr>
        <w:t>En définitive, l</w:t>
      </w:r>
      <w:r w:rsidR="00C602E5" w:rsidRPr="00A929CE">
        <w:rPr>
          <w:rFonts w:asciiTheme="minorHAnsi" w:hAnsiTheme="minorHAnsi" w:cstheme="minorHAnsi"/>
          <w:sz w:val="24"/>
          <w:szCs w:val="24"/>
        </w:rPr>
        <w:t xml:space="preserve">a situation de l’assainissement liquide ne connaît pas un grand essor. </w:t>
      </w:r>
      <w:r w:rsidR="00275A95" w:rsidRPr="00A929CE">
        <w:rPr>
          <w:rFonts w:asciiTheme="minorHAnsi" w:hAnsiTheme="minorHAnsi" w:cstheme="minorHAnsi"/>
          <w:sz w:val="24"/>
          <w:szCs w:val="24"/>
        </w:rPr>
        <w:t>Au Mali, l</w:t>
      </w:r>
      <w:r w:rsidR="00C602E5" w:rsidRPr="00A929CE">
        <w:rPr>
          <w:rFonts w:asciiTheme="minorHAnsi" w:hAnsiTheme="minorHAnsi" w:cstheme="minorHAnsi"/>
          <w:sz w:val="24"/>
          <w:szCs w:val="24"/>
        </w:rPr>
        <w:t xml:space="preserve">a question de la gestion des eaux usées et excrétas </w:t>
      </w:r>
      <w:r w:rsidR="00275A95" w:rsidRPr="00A929CE">
        <w:rPr>
          <w:rFonts w:asciiTheme="minorHAnsi" w:hAnsiTheme="minorHAnsi" w:cstheme="minorHAnsi"/>
          <w:sz w:val="24"/>
          <w:szCs w:val="24"/>
        </w:rPr>
        <w:t xml:space="preserve">demeure une préoccupation </w:t>
      </w:r>
      <w:r w:rsidR="00C22C80">
        <w:rPr>
          <w:rFonts w:asciiTheme="minorHAnsi" w:hAnsiTheme="minorHAnsi" w:cstheme="minorHAnsi"/>
          <w:sz w:val="24"/>
          <w:szCs w:val="24"/>
        </w:rPr>
        <w:t>importante qui attend d’être prise en charge sérieusement</w:t>
      </w:r>
      <w:r w:rsidR="00275A95" w:rsidRPr="00A929CE">
        <w:rPr>
          <w:rFonts w:asciiTheme="minorHAnsi" w:hAnsiTheme="minorHAnsi" w:cstheme="minorHAnsi"/>
          <w:sz w:val="24"/>
          <w:szCs w:val="24"/>
        </w:rPr>
        <w:t xml:space="preserve">. </w:t>
      </w:r>
    </w:p>
    <w:p w:rsidR="003441BF" w:rsidRPr="00A929CE" w:rsidRDefault="003441BF" w:rsidP="001754BB">
      <w:pPr>
        <w:pStyle w:val="BodyText"/>
        <w:spacing w:line="360" w:lineRule="auto"/>
        <w:rPr>
          <w:rFonts w:asciiTheme="minorHAnsi" w:hAnsiTheme="minorHAnsi"/>
          <w:sz w:val="24"/>
          <w:szCs w:val="24"/>
        </w:rPr>
      </w:pPr>
      <w:r w:rsidRPr="00A929CE">
        <w:rPr>
          <w:rFonts w:asciiTheme="minorHAnsi" w:hAnsiTheme="minorHAnsi"/>
          <w:sz w:val="24"/>
          <w:szCs w:val="24"/>
        </w:rPr>
        <w:t>Les tableaux ci-après illustrent à suffisance, le gap à combler et l</w:t>
      </w:r>
      <w:r w:rsidR="00C14955" w:rsidRPr="00A929CE">
        <w:rPr>
          <w:rFonts w:asciiTheme="minorHAnsi" w:hAnsiTheme="minorHAnsi"/>
          <w:sz w:val="24"/>
          <w:szCs w:val="24"/>
        </w:rPr>
        <w:t xml:space="preserve">’ampleur du </w:t>
      </w:r>
      <w:r w:rsidRPr="00A929CE">
        <w:rPr>
          <w:rFonts w:asciiTheme="minorHAnsi" w:hAnsiTheme="minorHAnsi"/>
          <w:sz w:val="24"/>
          <w:szCs w:val="24"/>
        </w:rPr>
        <w:t>défi à relever</w:t>
      </w:r>
      <w:r w:rsidR="00275A95" w:rsidRPr="00A929CE">
        <w:rPr>
          <w:rFonts w:asciiTheme="minorHAnsi" w:hAnsiTheme="minorHAnsi"/>
          <w:sz w:val="24"/>
          <w:szCs w:val="24"/>
        </w:rPr>
        <w:t xml:space="preserve"> à l’horizon 2030</w:t>
      </w:r>
      <w:r w:rsidRPr="00A929CE">
        <w:rPr>
          <w:rFonts w:asciiTheme="minorHAnsi" w:hAnsiTheme="minorHAnsi"/>
          <w:sz w:val="24"/>
          <w:szCs w:val="24"/>
        </w:rPr>
        <w:t>.</w:t>
      </w:r>
    </w:p>
    <w:p w:rsidR="003441BF" w:rsidRPr="001754BB" w:rsidRDefault="00693BFF" w:rsidP="00A929CE">
      <w:pPr>
        <w:pStyle w:val="Lgende"/>
        <w:spacing w:line="360" w:lineRule="auto"/>
        <w:rPr>
          <w:rFonts w:asciiTheme="minorHAnsi" w:hAnsiTheme="minorHAnsi"/>
          <w:sz w:val="24"/>
          <w:szCs w:val="24"/>
        </w:rPr>
      </w:pPr>
      <w:r w:rsidRPr="00A929CE">
        <w:rPr>
          <w:rFonts w:asciiTheme="minorHAnsi" w:hAnsiTheme="minorHAnsi"/>
          <w:sz w:val="24"/>
          <w:szCs w:val="24"/>
        </w:rPr>
        <w:t xml:space="preserve">Tableau </w:t>
      </w:r>
      <w:r w:rsidR="000F60D0" w:rsidRPr="00A929CE">
        <w:rPr>
          <w:rFonts w:asciiTheme="minorHAnsi" w:hAnsiTheme="minorHAnsi"/>
          <w:sz w:val="24"/>
          <w:szCs w:val="24"/>
        </w:rPr>
        <w:fldChar w:fldCharType="begin"/>
      </w:r>
      <w:r w:rsidR="00C536BE" w:rsidRPr="00A929CE">
        <w:rPr>
          <w:rFonts w:asciiTheme="minorHAnsi" w:hAnsiTheme="minorHAnsi"/>
          <w:sz w:val="24"/>
          <w:szCs w:val="24"/>
        </w:rPr>
        <w:instrText xml:space="preserve"> SEQ Tableau \* ARABIC </w:instrText>
      </w:r>
      <w:r w:rsidR="000F60D0" w:rsidRPr="00A929CE">
        <w:rPr>
          <w:rFonts w:asciiTheme="minorHAnsi" w:hAnsiTheme="minorHAnsi"/>
          <w:sz w:val="24"/>
          <w:szCs w:val="24"/>
        </w:rPr>
        <w:fldChar w:fldCharType="separate"/>
      </w:r>
      <w:r w:rsidR="00453352">
        <w:rPr>
          <w:rFonts w:asciiTheme="minorHAnsi" w:hAnsiTheme="minorHAnsi"/>
          <w:noProof/>
          <w:sz w:val="24"/>
          <w:szCs w:val="24"/>
        </w:rPr>
        <w:t>1</w:t>
      </w:r>
      <w:r w:rsidR="000F60D0" w:rsidRPr="00A929CE">
        <w:rPr>
          <w:rFonts w:asciiTheme="minorHAnsi" w:hAnsiTheme="minorHAnsi"/>
          <w:noProof/>
          <w:sz w:val="24"/>
          <w:szCs w:val="24"/>
        </w:rPr>
        <w:fldChar w:fldCharType="end"/>
      </w:r>
      <w:r w:rsidRPr="00A929CE">
        <w:rPr>
          <w:rFonts w:asciiTheme="minorHAnsi" w:hAnsiTheme="minorHAnsi"/>
          <w:sz w:val="24"/>
          <w:szCs w:val="24"/>
        </w:rPr>
        <w:t xml:space="preserve"> : </w:t>
      </w:r>
      <w:r w:rsidR="003441BF" w:rsidRPr="00B8772C">
        <w:rPr>
          <w:rFonts w:asciiTheme="minorHAnsi" w:hAnsiTheme="minorHAnsi"/>
          <w:sz w:val="24"/>
          <w:szCs w:val="24"/>
        </w:rPr>
        <w:t>Taux d’accès aux services d’assainissement liquide amélioré fin 2015</w:t>
      </w:r>
    </w:p>
    <w:tbl>
      <w:tblPr>
        <w:tblStyle w:val="GridTable5Dark-Accent21"/>
        <w:tblW w:w="9072" w:type="dxa"/>
        <w:jc w:val="center"/>
        <w:shd w:val="clear" w:color="auto" w:fill="9FC0D5" w:themeFill="text2" w:themeFillTint="66"/>
        <w:tblLayout w:type="fixed"/>
        <w:tblLook w:val="04A0" w:firstRow="1" w:lastRow="0" w:firstColumn="1" w:lastColumn="0" w:noHBand="0" w:noVBand="1"/>
      </w:tblPr>
      <w:tblGrid>
        <w:gridCol w:w="2518"/>
        <w:gridCol w:w="1975"/>
        <w:gridCol w:w="1744"/>
        <w:gridCol w:w="2835"/>
      </w:tblGrid>
      <w:tr w:rsidR="006A0646" w:rsidRPr="00A929CE" w:rsidTr="006E0389">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4493" w:type="dxa"/>
            <w:gridSpan w:val="2"/>
            <w:shd w:val="clear" w:color="auto" w:fill="9FC0D5" w:themeFill="text2" w:themeFillTint="66"/>
          </w:tcPr>
          <w:p w:rsidR="003441BF" w:rsidRPr="00A929CE" w:rsidRDefault="003441BF" w:rsidP="00B8772C">
            <w:pPr>
              <w:pStyle w:val="Tbltxt"/>
              <w:spacing w:line="360" w:lineRule="auto"/>
              <w:jc w:val="both"/>
              <w:rPr>
                <w:rFonts w:asciiTheme="minorHAnsi" w:hAnsiTheme="minorHAnsi"/>
                <w:color w:val="auto"/>
                <w:sz w:val="24"/>
                <w:szCs w:val="24"/>
              </w:rPr>
            </w:pPr>
            <w:r w:rsidRPr="00A929CE">
              <w:rPr>
                <w:rFonts w:asciiTheme="minorHAnsi" w:hAnsiTheme="minorHAnsi"/>
                <w:color w:val="auto"/>
                <w:sz w:val="24"/>
                <w:szCs w:val="24"/>
              </w:rPr>
              <w:t>Année 2015</w:t>
            </w:r>
          </w:p>
        </w:tc>
        <w:tc>
          <w:tcPr>
            <w:tcW w:w="1744" w:type="dxa"/>
            <w:shd w:val="clear" w:color="auto" w:fill="9FC0D5" w:themeFill="text2" w:themeFillTint="66"/>
          </w:tcPr>
          <w:p w:rsidR="003441BF" w:rsidRPr="00A929CE" w:rsidRDefault="003441BF" w:rsidP="00B8772C">
            <w:pPr>
              <w:pStyle w:val="Tbltxt"/>
              <w:keepNext/>
              <w:spacing w:line="360" w:lineRule="auto"/>
              <w:jc w:val="both"/>
              <w:cnfStyle w:val="100000000000" w:firstRow="1" w:lastRow="0" w:firstColumn="0" w:lastColumn="0" w:oddVBand="0" w:evenVBand="0" w:oddHBand="0" w:evenHBand="0" w:firstRowFirstColumn="0" w:firstRowLastColumn="0" w:lastRowFirstColumn="0" w:lastRowLastColumn="0"/>
              <w:rPr>
                <w:rFonts w:asciiTheme="minorHAnsi" w:hAnsiTheme="minorHAnsi"/>
                <w:color w:val="auto"/>
                <w:sz w:val="24"/>
                <w:szCs w:val="24"/>
              </w:rPr>
            </w:pPr>
            <w:r w:rsidRPr="00A929CE">
              <w:rPr>
                <w:rFonts w:asciiTheme="minorHAnsi" w:hAnsiTheme="minorHAnsi"/>
                <w:color w:val="auto"/>
                <w:sz w:val="24"/>
                <w:szCs w:val="24"/>
              </w:rPr>
              <w:t>Source DNACPN</w:t>
            </w:r>
          </w:p>
        </w:tc>
        <w:tc>
          <w:tcPr>
            <w:tcW w:w="2835" w:type="dxa"/>
            <w:shd w:val="clear" w:color="auto" w:fill="9FC0D5" w:themeFill="text2" w:themeFillTint="66"/>
          </w:tcPr>
          <w:p w:rsidR="003441BF" w:rsidRPr="00A929CE" w:rsidRDefault="00291989" w:rsidP="001754BB">
            <w:pPr>
              <w:pStyle w:val="Tbltxt"/>
              <w:keepNext/>
              <w:spacing w:line="360" w:lineRule="auto"/>
              <w:jc w:val="both"/>
              <w:cnfStyle w:val="100000000000" w:firstRow="1" w:lastRow="0" w:firstColumn="0" w:lastColumn="0" w:oddVBand="0" w:evenVBand="0" w:oddHBand="0" w:evenHBand="0" w:firstRowFirstColumn="0" w:firstRowLastColumn="0" w:lastRowFirstColumn="0" w:lastRowLastColumn="0"/>
              <w:rPr>
                <w:rFonts w:asciiTheme="minorHAnsi" w:hAnsiTheme="minorHAnsi"/>
                <w:color w:val="auto"/>
                <w:sz w:val="24"/>
                <w:szCs w:val="24"/>
              </w:rPr>
            </w:pPr>
            <w:r w:rsidRPr="00A929CE">
              <w:rPr>
                <w:rFonts w:asciiTheme="minorHAnsi" w:hAnsiTheme="minorHAnsi"/>
                <w:color w:val="auto"/>
                <w:sz w:val="24"/>
                <w:szCs w:val="24"/>
              </w:rPr>
              <w:t>Prévisions</w:t>
            </w:r>
            <w:r w:rsidR="001F0065">
              <w:rPr>
                <w:rFonts w:asciiTheme="minorHAnsi" w:hAnsiTheme="minorHAnsi"/>
                <w:color w:val="auto"/>
                <w:sz w:val="24"/>
                <w:szCs w:val="24"/>
              </w:rPr>
              <w:t xml:space="preserve"> </w:t>
            </w:r>
            <w:r w:rsidR="003441BF" w:rsidRPr="00A929CE">
              <w:rPr>
                <w:rFonts w:asciiTheme="minorHAnsi" w:hAnsiTheme="minorHAnsi"/>
                <w:color w:val="auto"/>
                <w:sz w:val="24"/>
                <w:szCs w:val="24"/>
              </w:rPr>
              <w:t>OMD</w:t>
            </w:r>
          </w:p>
        </w:tc>
      </w:tr>
      <w:tr w:rsidR="006A0646" w:rsidRPr="00A929CE" w:rsidTr="006E0389">
        <w:trPr>
          <w:cnfStyle w:val="000000100000" w:firstRow="0" w:lastRow="0" w:firstColumn="0" w:lastColumn="0" w:oddVBand="0" w:evenVBand="0" w:oddHBand="1" w:evenHBand="0" w:firstRowFirstColumn="0" w:firstRowLastColumn="0" w:lastRowFirstColumn="0" w:lastRowLastColumn="0"/>
          <w:trHeight w:val="190"/>
          <w:jc w:val="center"/>
        </w:trPr>
        <w:tc>
          <w:tcPr>
            <w:cnfStyle w:val="001000000000" w:firstRow="0" w:lastRow="0" w:firstColumn="1" w:lastColumn="0" w:oddVBand="0" w:evenVBand="0" w:oddHBand="0" w:evenHBand="0" w:firstRowFirstColumn="0" w:firstRowLastColumn="0" w:lastRowFirstColumn="0" w:lastRowLastColumn="0"/>
            <w:tcW w:w="2518" w:type="dxa"/>
            <w:vMerge w:val="restart"/>
            <w:shd w:val="clear" w:color="auto" w:fill="9FC0D5" w:themeFill="text2" w:themeFillTint="66"/>
            <w:vAlign w:val="center"/>
          </w:tcPr>
          <w:p w:rsidR="003441BF" w:rsidRPr="00A929CE" w:rsidRDefault="003441BF" w:rsidP="00B8772C">
            <w:pPr>
              <w:pStyle w:val="Tbltxt"/>
              <w:spacing w:line="360" w:lineRule="auto"/>
              <w:rPr>
                <w:rFonts w:asciiTheme="minorHAnsi" w:hAnsiTheme="minorHAnsi"/>
                <w:color w:val="auto"/>
                <w:sz w:val="24"/>
                <w:szCs w:val="24"/>
              </w:rPr>
            </w:pPr>
            <w:r w:rsidRPr="00A929CE">
              <w:rPr>
                <w:rFonts w:asciiTheme="minorHAnsi" w:hAnsiTheme="minorHAnsi"/>
                <w:color w:val="auto"/>
                <w:sz w:val="24"/>
                <w:szCs w:val="24"/>
              </w:rPr>
              <w:t>Accès à l’assainissement</w:t>
            </w:r>
          </w:p>
        </w:tc>
        <w:tc>
          <w:tcPr>
            <w:tcW w:w="1975" w:type="dxa"/>
            <w:shd w:val="clear" w:color="auto" w:fill="9FC0D5" w:themeFill="text2" w:themeFillTint="66"/>
          </w:tcPr>
          <w:p w:rsidR="003441BF" w:rsidRPr="00A929CE" w:rsidRDefault="003441BF" w:rsidP="00B8772C">
            <w:pPr>
              <w:pStyle w:val="Tbltxt"/>
              <w:spacing w:line="360" w:lineRule="auto"/>
              <w:jc w:val="both"/>
              <w:cnfStyle w:val="000000100000" w:firstRow="0" w:lastRow="0" w:firstColumn="0" w:lastColumn="0" w:oddVBand="0" w:evenVBand="0" w:oddHBand="1" w:evenHBand="0" w:firstRowFirstColumn="0" w:firstRowLastColumn="0" w:lastRowFirstColumn="0" w:lastRowLastColumn="0"/>
              <w:rPr>
                <w:rFonts w:asciiTheme="minorHAnsi" w:hAnsiTheme="minorHAnsi"/>
                <w:sz w:val="24"/>
                <w:szCs w:val="24"/>
              </w:rPr>
            </w:pPr>
            <w:r w:rsidRPr="00A929CE">
              <w:rPr>
                <w:rFonts w:asciiTheme="minorHAnsi" w:hAnsiTheme="minorHAnsi"/>
                <w:sz w:val="24"/>
                <w:szCs w:val="24"/>
              </w:rPr>
              <w:t>Urbain</w:t>
            </w:r>
          </w:p>
        </w:tc>
        <w:tc>
          <w:tcPr>
            <w:tcW w:w="1744" w:type="dxa"/>
            <w:shd w:val="clear" w:color="auto" w:fill="9FC0D5" w:themeFill="text2" w:themeFillTint="66"/>
          </w:tcPr>
          <w:p w:rsidR="003441BF" w:rsidRPr="00A929CE" w:rsidRDefault="00275A95" w:rsidP="001754BB">
            <w:pPr>
              <w:pStyle w:val="Tbltxt"/>
              <w:spacing w:line="360" w:lineRule="auto"/>
              <w:jc w:val="both"/>
              <w:cnfStyle w:val="000000100000" w:firstRow="0" w:lastRow="0" w:firstColumn="0" w:lastColumn="0" w:oddVBand="0" w:evenVBand="0" w:oddHBand="1" w:evenHBand="0" w:firstRowFirstColumn="0" w:firstRowLastColumn="0" w:lastRowFirstColumn="0" w:lastRowLastColumn="0"/>
              <w:rPr>
                <w:rFonts w:asciiTheme="minorHAnsi" w:hAnsiTheme="minorHAnsi"/>
                <w:sz w:val="24"/>
                <w:szCs w:val="24"/>
              </w:rPr>
            </w:pPr>
            <w:r w:rsidRPr="00A929CE">
              <w:rPr>
                <w:rFonts w:asciiTheme="minorHAnsi" w:hAnsiTheme="minorHAnsi"/>
                <w:sz w:val="24"/>
                <w:szCs w:val="24"/>
              </w:rPr>
              <w:t>46</w:t>
            </w:r>
            <w:r w:rsidR="003441BF" w:rsidRPr="00A929CE">
              <w:rPr>
                <w:rFonts w:asciiTheme="minorHAnsi" w:hAnsiTheme="minorHAnsi"/>
                <w:sz w:val="24"/>
                <w:szCs w:val="24"/>
              </w:rPr>
              <w:t>%</w:t>
            </w:r>
          </w:p>
        </w:tc>
        <w:tc>
          <w:tcPr>
            <w:tcW w:w="2835" w:type="dxa"/>
            <w:shd w:val="clear" w:color="auto" w:fill="9FC0D5" w:themeFill="text2" w:themeFillTint="66"/>
          </w:tcPr>
          <w:p w:rsidR="003441BF" w:rsidRPr="00A929CE" w:rsidRDefault="003441BF" w:rsidP="001754BB">
            <w:pPr>
              <w:pStyle w:val="Tbltxt"/>
              <w:spacing w:line="360" w:lineRule="auto"/>
              <w:jc w:val="both"/>
              <w:cnfStyle w:val="000000100000" w:firstRow="0" w:lastRow="0" w:firstColumn="0" w:lastColumn="0" w:oddVBand="0" w:evenVBand="0" w:oddHBand="1" w:evenHBand="0" w:firstRowFirstColumn="0" w:firstRowLastColumn="0" w:lastRowFirstColumn="0" w:lastRowLastColumn="0"/>
              <w:rPr>
                <w:rFonts w:asciiTheme="minorHAnsi" w:hAnsiTheme="minorHAnsi"/>
                <w:sz w:val="24"/>
                <w:szCs w:val="24"/>
              </w:rPr>
            </w:pPr>
            <w:r w:rsidRPr="00A929CE">
              <w:rPr>
                <w:rFonts w:asciiTheme="minorHAnsi" w:hAnsiTheme="minorHAnsi"/>
                <w:sz w:val="24"/>
                <w:szCs w:val="24"/>
              </w:rPr>
              <w:t>90%</w:t>
            </w:r>
          </w:p>
        </w:tc>
      </w:tr>
      <w:tr w:rsidR="006A0646" w:rsidRPr="00A929CE" w:rsidTr="006E0389">
        <w:trPr>
          <w:trHeight w:val="189"/>
          <w:jc w:val="center"/>
        </w:trPr>
        <w:tc>
          <w:tcPr>
            <w:cnfStyle w:val="001000000000" w:firstRow="0" w:lastRow="0" w:firstColumn="1" w:lastColumn="0" w:oddVBand="0" w:evenVBand="0" w:oddHBand="0" w:evenHBand="0" w:firstRowFirstColumn="0" w:firstRowLastColumn="0" w:lastRowFirstColumn="0" w:lastRowLastColumn="0"/>
            <w:tcW w:w="2518" w:type="dxa"/>
            <w:vMerge/>
            <w:shd w:val="clear" w:color="auto" w:fill="9FC0D5" w:themeFill="text2" w:themeFillTint="66"/>
          </w:tcPr>
          <w:p w:rsidR="003441BF" w:rsidRPr="00A929CE" w:rsidRDefault="003441BF" w:rsidP="00A929CE">
            <w:pPr>
              <w:pStyle w:val="Tbltxt"/>
              <w:spacing w:line="360" w:lineRule="auto"/>
              <w:jc w:val="both"/>
              <w:rPr>
                <w:rFonts w:asciiTheme="minorHAnsi" w:hAnsiTheme="minorHAnsi"/>
                <w:color w:val="auto"/>
                <w:sz w:val="24"/>
                <w:szCs w:val="24"/>
              </w:rPr>
            </w:pPr>
          </w:p>
        </w:tc>
        <w:tc>
          <w:tcPr>
            <w:tcW w:w="1975" w:type="dxa"/>
            <w:shd w:val="clear" w:color="auto" w:fill="9FC0D5" w:themeFill="text2" w:themeFillTint="66"/>
          </w:tcPr>
          <w:p w:rsidR="003441BF" w:rsidRPr="00A929CE" w:rsidRDefault="003441BF" w:rsidP="00A929CE">
            <w:pPr>
              <w:pStyle w:val="Tbltxt"/>
              <w:spacing w:line="360" w:lineRule="auto"/>
              <w:jc w:val="both"/>
              <w:cnfStyle w:val="000000000000" w:firstRow="0" w:lastRow="0" w:firstColumn="0" w:lastColumn="0" w:oddVBand="0" w:evenVBand="0" w:oddHBand="0" w:evenHBand="0" w:firstRowFirstColumn="0" w:firstRowLastColumn="0" w:lastRowFirstColumn="0" w:lastRowLastColumn="0"/>
              <w:rPr>
                <w:rFonts w:asciiTheme="minorHAnsi" w:hAnsiTheme="minorHAnsi"/>
                <w:sz w:val="24"/>
                <w:szCs w:val="24"/>
              </w:rPr>
            </w:pPr>
            <w:r w:rsidRPr="00A929CE">
              <w:rPr>
                <w:rFonts w:asciiTheme="minorHAnsi" w:hAnsiTheme="minorHAnsi"/>
                <w:sz w:val="24"/>
                <w:szCs w:val="24"/>
              </w:rPr>
              <w:t>Rural</w:t>
            </w:r>
          </w:p>
        </w:tc>
        <w:tc>
          <w:tcPr>
            <w:tcW w:w="1744" w:type="dxa"/>
            <w:shd w:val="clear" w:color="auto" w:fill="9FC0D5" w:themeFill="text2" w:themeFillTint="66"/>
          </w:tcPr>
          <w:p w:rsidR="003441BF" w:rsidRPr="00A929CE" w:rsidRDefault="00275A95" w:rsidP="00A929CE">
            <w:pPr>
              <w:pStyle w:val="Tbltxt"/>
              <w:spacing w:line="360" w:lineRule="auto"/>
              <w:jc w:val="both"/>
              <w:cnfStyle w:val="000000000000" w:firstRow="0" w:lastRow="0" w:firstColumn="0" w:lastColumn="0" w:oddVBand="0" w:evenVBand="0" w:oddHBand="0" w:evenHBand="0" w:firstRowFirstColumn="0" w:firstRowLastColumn="0" w:lastRowFirstColumn="0" w:lastRowLastColumn="0"/>
              <w:rPr>
                <w:rFonts w:asciiTheme="minorHAnsi" w:hAnsiTheme="minorHAnsi"/>
                <w:sz w:val="24"/>
                <w:szCs w:val="24"/>
              </w:rPr>
            </w:pPr>
            <w:r w:rsidRPr="00A929CE">
              <w:rPr>
                <w:rFonts w:asciiTheme="minorHAnsi" w:hAnsiTheme="minorHAnsi"/>
                <w:sz w:val="24"/>
                <w:szCs w:val="24"/>
              </w:rPr>
              <w:t>22</w:t>
            </w:r>
            <w:r w:rsidR="003441BF" w:rsidRPr="00A929CE">
              <w:rPr>
                <w:rFonts w:asciiTheme="minorHAnsi" w:hAnsiTheme="minorHAnsi"/>
                <w:sz w:val="24"/>
                <w:szCs w:val="24"/>
              </w:rPr>
              <w:t>%</w:t>
            </w:r>
          </w:p>
        </w:tc>
        <w:tc>
          <w:tcPr>
            <w:tcW w:w="2835" w:type="dxa"/>
            <w:shd w:val="clear" w:color="auto" w:fill="9FC0D5" w:themeFill="text2" w:themeFillTint="66"/>
          </w:tcPr>
          <w:p w:rsidR="003441BF" w:rsidRPr="00A929CE" w:rsidRDefault="003441BF" w:rsidP="00A929CE">
            <w:pPr>
              <w:pStyle w:val="Tbltxt"/>
              <w:spacing w:line="360" w:lineRule="auto"/>
              <w:jc w:val="both"/>
              <w:cnfStyle w:val="000000000000" w:firstRow="0" w:lastRow="0" w:firstColumn="0" w:lastColumn="0" w:oddVBand="0" w:evenVBand="0" w:oddHBand="0" w:evenHBand="0" w:firstRowFirstColumn="0" w:firstRowLastColumn="0" w:lastRowFirstColumn="0" w:lastRowLastColumn="0"/>
              <w:rPr>
                <w:rFonts w:asciiTheme="minorHAnsi" w:hAnsiTheme="minorHAnsi"/>
                <w:sz w:val="24"/>
                <w:szCs w:val="24"/>
              </w:rPr>
            </w:pPr>
            <w:r w:rsidRPr="00A929CE">
              <w:rPr>
                <w:rFonts w:asciiTheme="minorHAnsi" w:hAnsiTheme="minorHAnsi"/>
                <w:sz w:val="24"/>
                <w:szCs w:val="24"/>
              </w:rPr>
              <w:t>65%</w:t>
            </w:r>
          </w:p>
        </w:tc>
      </w:tr>
      <w:tr w:rsidR="006A0646" w:rsidRPr="00A929CE" w:rsidTr="006E0389">
        <w:trPr>
          <w:cnfStyle w:val="000000100000" w:firstRow="0" w:lastRow="0" w:firstColumn="0" w:lastColumn="0" w:oddVBand="0" w:evenVBand="0" w:oddHBand="1" w:evenHBand="0" w:firstRowFirstColumn="0" w:firstRowLastColumn="0" w:lastRowFirstColumn="0" w:lastRowLastColumn="0"/>
          <w:trHeight w:val="189"/>
          <w:jc w:val="center"/>
        </w:trPr>
        <w:tc>
          <w:tcPr>
            <w:cnfStyle w:val="001000000000" w:firstRow="0" w:lastRow="0" w:firstColumn="1" w:lastColumn="0" w:oddVBand="0" w:evenVBand="0" w:oddHBand="0" w:evenHBand="0" w:firstRowFirstColumn="0" w:firstRowLastColumn="0" w:lastRowFirstColumn="0" w:lastRowLastColumn="0"/>
            <w:tcW w:w="2518" w:type="dxa"/>
            <w:vMerge/>
            <w:shd w:val="clear" w:color="auto" w:fill="9FC0D5" w:themeFill="text2" w:themeFillTint="66"/>
          </w:tcPr>
          <w:p w:rsidR="003441BF" w:rsidRPr="00A929CE" w:rsidRDefault="003441BF" w:rsidP="00A929CE">
            <w:pPr>
              <w:pStyle w:val="Tbltxt"/>
              <w:spacing w:line="360" w:lineRule="auto"/>
              <w:jc w:val="both"/>
              <w:rPr>
                <w:rFonts w:asciiTheme="minorHAnsi" w:hAnsiTheme="minorHAnsi"/>
                <w:color w:val="auto"/>
                <w:sz w:val="24"/>
                <w:szCs w:val="24"/>
              </w:rPr>
            </w:pPr>
          </w:p>
        </w:tc>
        <w:tc>
          <w:tcPr>
            <w:tcW w:w="1975" w:type="dxa"/>
            <w:shd w:val="clear" w:color="auto" w:fill="9FC0D5" w:themeFill="text2" w:themeFillTint="66"/>
          </w:tcPr>
          <w:p w:rsidR="003441BF" w:rsidRPr="00A929CE" w:rsidRDefault="003441BF" w:rsidP="00A929CE">
            <w:pPr>
              <w:pStyle w:val="Tbltxt"/>
              <w:spacing w:line="360" w:lineRule="auto"/>
              <w:jc w:val="both"/>
              <w:cnfStyle w:val="000000100000" w:firstRow="0" w:lastRow="0" w:firstColumn="0" w:lastColumn="0" w:oddVBand="0" w:evenVBand="0" w:oddHBand="1" w:evenHBand="0" w:firstRowFirstColumn="0" w:firstRowLastColumn="0" w:lastRowFirstColumn="0" w:lastRowLastColumn="0"/>
              <w:rPr>
                <w:rFonts w:asciiTheme="minorHAnsi" w:hAnsiTheme="minorHAnsi"/>
                <w:b/>
                <w:sz w:val="24"/>
                <w:szCs w:val="24"/>
              </w:rPr>
            </w:pPr>
            <w:r w:rsidRPr="00A929CE">
              <w:rPr>
                <w:rFonts w:asciiTheme="minorHAnsi" w:hAnsiTheme="minorHAnsi"/>
                <w:b/>
                <w:sz w:val="24"/>
                <w:szCs w:val="24"/>
              </w:rPr>
              <w:t>National</w:t>
            </w:r>
          </w:p>
        </w:tc>
        <w:tc>
          <w:tcPr>
            <w:tcW w:w="1744" w:type="dxa"/>
            <w:shd w:val="clear" w:color="auto" w:fill="9FC0D5" w:themeFill="text2" w:themeFillTint="66"/>
          </w:tcPr>
          <w:p w:rsidR="003441BF" w:rsidRPr="00A929CE" w:rsidRDefault="00275A95" w:rsidP="00A929CE">
            <w:pPr>
              <w:pStyle w:val="Tbltxt"/>
              <w:spacing w:line="360" w:lineRule="auto"/>
              <w:jc w:val="both"/>
              <w:cnfStyle w:val="000000100000" w:firstRow="0" w:lastRow="0" w:firstColumn="0" w:lastColumn="0" w:oddVBand="0" w:evenVBand="0" w:oddHBand="1" w:evenHBand="0" w:firstRowFirstColumn="0" w:firstRowLastColumn="0" w:lastRowFirstColumn="0" w:lastRowLastColumn="0"/>
              <w:rPr>
                <w:rFonts w:asciiTheme="minorHAnsi" w:hAnsiTheme="minorHAnsi"/>
                <w:b/>
                <w:sz w:val="24"/>
                <w:szCs w:val="24"/>
              </w:rPr>
            </w:pPr>
            <w:r w:rsidRPr="00A929CE">
              <w:rPr>
                <w:rFonts w:asciiTheme="minorHAnsi" w:hAnsiTheme="minorHAnsi"/>
                <w:b/>
                <w:sz w:val="24"/>
                <w:szCs w:val="24"/>
              </w:rPr>
              <w:t>31</w:t>
            </w:r>
            <w:r w:rsidR="003441BF" w:rsidRPr="00A929CE">
              <w:rPr>
                <w:rFonts w:asciiTheme="minorHAnsi" w:hAnsiTheme="minorHAnsi"/>
                <w:b/>
                <w:sz w:val="24"/>
                <w:szCs w:val="24"/>
              </w:rPr>
              <w:t>%</w:t>
            </w:r>
          </w:p>
        </w:tc>
        <w:tc>
          <w:tcPr>
            <w:tcW w:w="2835" w:type="dxa"/>
            <w:shd w:val="clear" w:color="auto" w:fill="9FC0D5" w:themeFill="text2" w:themeFillTint="66"/>
          </w:tcPr>
          <w:p w:rsidR="003441BF" w:rsidRPr="00A929CE" w:rsidRDefault="003441BF" w:rsidP="00A929CE">
            <w:pPr>
              <w:pStyle w:val="Tbltxt"/>
              <w:spacing w:line="360" w:lineRule="auto"/>
              <w:jc w:val="both"/>
              <w:cnfStyle w:val="000000100000" w:firstRow="0" w:lastRow="0" w:firstColumn="0" w:lastColumn="0" w:oddVBand="0" w:evenVBand="0" w:oddHBand="1" w:evenHBand="0" w:firstRowFirstColumn="0" w:firstRowLastColumn="0" w:lastRowFirstColumn="0" w:lastRowLastColumn="0"/>
              <w:rPr>
                <w:rFonts w:asciiTheme="minorHAnsi" w:hAnsiTheme="minorHAnsi"/>
                <w:b/>
                <w:sz w:val="24"/>
                <w:szCs w:val="24"/>
              </w:rPr>
            </w:pPr>
            <w:r w:rsidRPr="00A929CE">
              <w:rPr>
                <w:rFonts w:asciiTheme="minorHAnsi" w:hAnsiTheme="minorHAnsi"/>
                <w:b/>
                <w:sz w:val="24"/>
                <w:szCs w:val="24"/>
              </w:rPr>
              <w:t>66%</w:t>
            </w:r>
          </w:p>
        </w:tc>
      </w:tr>
    </w:tbl>
    <w:p w:rsidR="003441BF" w:rsidRPr="00BC7FF5" w:rsidRDefault="003441BF" w:rsidP="00B8772C">
      <w:pPr>
        <w:pStyle w:val="Source"/>
        <w:spacing w:line="360" w:lineRule="auto"/>
        <w:jc w:val="both"/>
        <w:rPr>
          <w:rFonts w:asciiTheme="minorHAnsi" w:hAnsiTheme="minorHAnsi"/>
          <w:sz w:val="24"/>
          <w:szCs w:val="24"/>
        </w:rPr>
      </w:pPr>
      <w:r w:rsidRPr="00B8772C">
        <w:rPr>
          <w:rFonts w:asciiTheme="minorHAnsi" w:hAnsiTheme="minorHAnsi"/>
          <w:sz w:val="24"/>
          <w:szCs w:val="24"/>
        </w:rPr>
        <w:t xml:space="preserve">Source : </w:t>
      </w:r>
      <w:r w:rsidR="00B32D7E" w:rsidRPr="001754BB">
        <w:rPr>
          <w:rFonts w:asciiTheme="minorHAnsi" w:hAnsiTheme="minorHAnsi"/>
          <w:sz w:val="24"/>
          <w:szCs w:val="24"/>
        </w:rPr>
        <w:t xml:space="preserve">JMP, </w:t>
      </w:r>
      <w:r w:rsidRPr="001754BB">
        <w:rPr>
          <w:rFonts w:asciiTheme="minorHAnsi" w:hAnsiTheme="minorHAnsi"/>
          <w:sz w:val="24"/>
          <w:szCs w:val="24"/>
        </w:rPr>
        <w:t>rapport 201</w:t>
      </w:r>
      <w:r w:rsidR="00B32D7E" w:rsidRPr="00BC7FF5">
        <w:rPr>
          <w:rFonts w:asciiTheme="minorHAnsi" w:hAnsiTheme="minorHAnsi"/>
          <w:sz w:val="24"/>
          <w:szCs w:val="24"/>
        </w:rPr>
        <w:t>7</w:t>
      </w:r>
    </w:p>
    <w:p w:rsidR="003441BF" w:rsidRPr="0022409F" w:rsidRDefault="003441BF" w:rsidP="00B8772C">
      <w:pPr>
        <w:pStyle w:val="BodyText"/>
        <w:spacing w:line="360" w:lineRule="auto"/>
        <w:rPr>
          <w:rFonts w:asciiTheme="minorHAnsi" w:hAnsiTheme="minorHAnsi"/>
          <w:sz w:val="24"/>
          <w:szCs w:val="24"/>
        </w:rPr>
      </w:pPr>
      <w:r w:rsidRPr="00BC7FF5">
        <w:rPr>
          <w:rFonts w:asciiTheme="minorHAnsi" w:hAnsiTheme="minorHAnsi"/>
          <w:sz w:val="24"/>
          <w:szCs w:val="24"/>
        </w:rPr>
        <w:t>On constate que l’objectif de 66% fixé n</w:t>
      </w:r>
      <w:r w:rsidRPr="0022409F">
        <w:rPr>
          <w:rFonts w:asciiTheme="minorHAnsi" w:hAnsiTheme="minorHAnsi"/>
          <w:sz w:val="24"/>
          <w:szCs w:val="24"/>
        </w:rPr>
        <w:t xml:space="preserve">’est pas atteint. Un gap </w:t>
      </w:r>
      <w:r w:rsidR="00275A95" w:rsidRPr="0022409F">
        <w:rPr>
          <w:rFonts w:asciiTheme="minorHAnsi" w:hAnsiTheme="minorHAnsi"/>
          <w:sz w:val="24"/>
          <w:szCs w:val="24"/>
        </w:rPr>
        <w:t>de 35</w:t>
      </w:r>
      <w:r w:rsidRPr="0022409F">
        <w:rPr>
          <w:rFonts w:asciiTheme="minorHAnsi" w:hAnsiTheme="minorHAnsi"/>
          <w:sz w:val="24"/>
          <w:szCs w:val="24"/>
        </w:rPr>
        <w:t xml:space="preserve">% reste à couvrir. </w:t>
      </w:r>
    </w:p>
    <w:p w:rsidR="00E44928" w:rsidRPr="00112EE9" w:rsidRDefault="00E44928" w:rsidP="001754BB">
      <w:pPr>
        <w:pStyle w:val="BodyText"/>
        <w:spacing w:line="360" w:lineRule="auto"/>
        <w:rPr>
          <w:rFonts w:asciiTheme="minorHAnsi" w:hAnsiTheme="minorHAnsi"/>
          <w:sz w:val="24"/>
          <w:szCs w:val="24"/>
        </w:rPr>
      </w:pPr>
    </w:p>
    <w:p w:rsidR="003441BF" w:rsidRPr="001754BB" w:rsidRDefault="00693BFF" w:rsidP="001754BB">
      <w:pPr>
        <w:pStyle w:val="Lgende"/>
        <w:spacing w:line="360" w:lineRule="auto"/>
        <w:jc w:val="both"/>
        <w:rPr>
          <w:rFonts w:asciiTheme="minorHAnsi" w:hAnsiTheme="minorHAnsi"/>
          <w:sz w:val="24"/>
          <w:szCs w:val="24"/>
        </w:rPr>
      </w:pPr>
      <w:r w:rsidRPr="00A929CE">
        <w:rPr>
          <w:rFonts w:asciiTheme="minorHAnsi" w:hAnsiTheme="minorHAnsi"/>
          <w:sz w:val="24"/>
          <w:szCs w:val="24"/>
        </w:rPr>
        <w:t xml:space="preserve">Tableau </w:t>
      </w:r>
      <w:r w:rsidR="000F60D0" w:rsidRPr="00A929CE">
        <w:rPr>
          <w:rFonts w:asciiTheme="minorHAnsi" w:hAnsiTheme="minorHAnsi"/>
          <w:sz w:val="24"/>
          <w:szCs w:val="24"/>
        </w:rPr>
        <w:fldChar w:fldCharType="begin"/>
      </w:r>
      <w:r w:rsidR="00C536BE" w:rsidRPr="00A929CE">
        <w:rPr>
          <w:rFonts w:asciiTheme="minorHAnsi" w:hAnsiTheme="minorHAnsi"/>
          <w:sz w:val="24"/>
          <w:szCs w:val="24"/>
        </w:rPr>
        <w:instrText xml:space="preserve"> SEQ Tableau \* ARABIC </w:instrText>
      </w:r>
      <w:r w:rsidR="000F60D0" w:rsidRPr="00A929CE">
        <w:rPr>
          <w:rFonts w:asciiTheme="minorHAnsi" w:hAnsiTheme="minorHAnsi"/>
          <w:sz w:val="24"/>
          <w:szCs w:val="24"/>
        </w:rPr>
        <w:fldChar w:fldCharType="separate"/>
      </w:r>
      <w:r w:rsidR="00453352">
        <w:rPr>
          <w:rFonts w:asciiTheme="minorHAnsi" w:hAnsiTheme="minorHAnsi"/>
          <w:noProof/>
          <w:sz w:val="24"/>
          <w:szCs w:val="24"/>
        </w:rPr>
        <w:t>2</w:t>
      </w:r>
      <w:r w:rsidR="000F60D0" w:rsidRPr="00A929CE">
        <w:rPr>
          <w:rFonts w:asciiTheme="minorHAnsi" w:hAnsiTheme="minorHAnsi"/>
          <w:noProof/>
          <w:sz w:val="24"/>
          <w:szCs w:val="24"/>
        </w:rPr>
        <w:fldChar w:fldCharType="end"/>
      </w:r>
      <w:r w:rsidRPr="00A929CE">
        <w:rPr>
          <w:rFonts w:asciiTheme="minorHAnsi" w:hAnsiTheme="minorHAnsi"/>
          <w:sz w:val="24"/>
          <w:szCs w:val="24"/>
        </w:rPr>
        <w:t xml:space="preserve"> : </w:t>
      </w:r>
      <w:r w:rsidR="003441BF" w:rsidRPr="00B8772C">
        <w:rPr>
          <w:rFonts w:asciiTheme="minorHAnsi" w:hAnsiTheme="minorHAnsi"/>
          <w:sz w:val="24"/>
          <w:szCs w:val="24"/>
        </w:rPr>
        <w:t>Population couvert</w:t>
      </w:r>
      <w:r w:rsidR="00CC1E18" w:rsidRPr="001754BB">
        <w:rPr>
          <w:rFonts w:asciiTheme="minorHAnsi" w:hAnsiTheme="minorHAnsi"/>
          <w:sz w:val="24"/>
          <w:szCs w:val="24"/>
        </w:rPr>
        <w:t xml:space="preserve">e en 2015 et projection ODD à l’horizon </w:t>
      </w:r>
      <w:r w:rsidR="003441BF" w:rsidRPr="001754BB">
        <w:rPr>
          <w:rFonts w:asciiTheme="minorHAnsi" w:hAnsiTheme="minorHAnsi"/>
          <w:sz w:val="24"/>
          <w:szCs w:val="24"/>
        </w:rPr>
        <w:t>2030</w:t>
      </w:r>
    </w:p>
    <w:tbl>
      <w:tblPr>
        <w:tblStyle w:val="GridTable5Dark-Accent21"/>
        <w:tblW w:w="9106" w:type="dxa"/>
        <w:jc w:val="center"/>
        <w:shd w:val="clear" w:color="auto" w:fill="9FC0D5" w:themeFill="text2" w:themeFillTint="66"/>
        <w:tblLayout w:type="fixed"/>
        <w:tblLook w:val="04A0" w:firstRow="1" w:lastRow="0" w:firstColumn="1" w:lastColumn="0" w:noHBand="0" w:noVBand="1"/>
      </w:tblPr>
      <w:tblGrid>
        <w:gridCol w:w="2552"/>
        <w:gridCol w:w="1309"/>
        <w:gridCol w:w="1701"/>
        <w:gridCol w:w="1701"/>
        <w:gridCol w:w="1843"/>
      </w:tblGrid>
      <w:tr w:rsidR="006A0646" w:rsidRPr="00A929CE" w:rsidTr="006E0389">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3861" w:type="dxa"/>
            <w:gridSpan w:val="2"/>
            <w:shd w:val="clear" w:color="auto" w:fill="9FC0D5" w:themeFill="text2" w:themeFillTint="66"/>
          </w:tcPr>
          <w:p w:rsidR="003441BF" w:rsidRPr="00A929CE" w:rsidRDefault="003441BF" w:rsidP="00BC7FF5">
            <w:pPr>
              <w:pStyle w:val="Tbltxt"/>
              <w:spacing w:line="360" w:lineRule="auto"/>
              <w:jc w:val="both"/>
              <w:rPr>
                <w:rFonts w:asciiTheme="minorHAnsi" w:hAnsiTheme="minorHAnsi"/>
                <w:color w:val="auto"/>
                <w:sz w:val="24"/>
                <w:szCs w:val="24"/>
              </w:rPr>
            </w:pPr>
            <w:r w:rsidRPr="00A929CE">
              <w:rPr>
                <w:rFonts w:asciiTheme="minorHAnsi" w:hAnsiTheme="minorHAnsi"/>
                <w:color w:val="auto"/>
                <w:sz w:val="24"/>
                <w:szCs w:val="24"/>
              </w:rPr>
              <w:t>Taux 2015</w:t>
            </w:r>
          </w:p>
        </w:tc>
        <w:tc>
          <w:tcPr>
            <w:tcW w:w="1701" w:type="dxa"/>
            <w:shd w:val="clear" w:color="auto" w:fill="9FC0D5" w:themeFill="text2" w:themeFillTint="66"/>
          </w:tcPr>
          <w:p w:rsidR="003441BF" w:rsidRPr="00A929CE" w:rsidRDefault="003441BF" w:rsidP="00BC7FF5">
            <w:pPr>
              <w:pStyle w:val="Tbltxt"/>
              <w:spacing w:line="360" w:lineRule="auto"/>
              <w:jc w:val="both"/>
              <w:cnfStyle w:val="100000000000" w:firstRow="1" w:lastRow="0" w:firstColumn="0" w:lastColumn="0" w:oddVBand="0" w:evenVBand="0" w:oddHBand="0" w:evenHBand="0" w:firstRowFirstColumn="0" w:firstRowLastColumn="0" w:lastRowFirstColumn="0" w:lastRowLastColumn="0"/>
              <w:rPr>
                <w:rFonts w:asciiTheme="minorHAnsi" w:hAnsiTheme="minorHAnsi"/>
                <w:color w:val="auto"/>
                <w:sz w:val="24"/>
                <w:szCs w:val="24"/>
              </w:rPr>
            </w:pPr>
            <w:r w:rsidRPr="00A929CE">
              <w:rPr>
                <w:rFonts w:asciiTheme="minorHAnsi" w:hAnsiTheme="minorHAnsi"/>
                <w:color w:val="auto"/>
                <w:sz w:val="24"/>
                <w:szCs w:val="24"/>
              </w:rPr>
              <w:t>Accès 2015 DNACPN)</w:t>
            </w:r>
          </w:p>
        </w:tc>
        <w:tc>
          <w:tcPr>
            <w:tcW w:w="1701" w:type="dxa"/>
            <w:shd w:val="clear" w:color="auto" w:fill="9FC0D5" w:themeFill="text2" w:themeFillTint="66"/>
          </w:tcPr>
          <w:p w:rsidR="003441BF" w:rsidRPr="00A929CE" w:rsidRDefault="003441BF" w:rsidP="00112EE9">
            <w:pPr>
              <w:pStyle w:val="Tbltxt"/>
              <w:spacing w:line="360" w:lineRule="auto"/>
              <w:jc w:val="both"/>
              <w:cnfStyle w:val="100000000000" w:firstRow="1" w:lastRow="0" w:firstColumn="0" w:lastColumn="0" w:oddVBand="0" w:evenVBand="0" w:oddHBand="0" w:evenHBand="0" w:firstRowFirstColumn="0" w:firstRowLastColumn="0" w:lastRowFirstColumn="0" w:lastRowLastColumn="0"/>
              <w:rPr>
                <w:rFonts w:asciiTheme="minorHAnsi" w:hAnsiTheme="minorHAnsi"/>
                <w:color w:val="auto"/>
                <w:sz w:val="24"/>
                <w:szCs w:val="24"/>
              </w:rPr>
            </w:pPr>
            <w:r w:rsidRPr="00A929CE">
              <w:rPr>
                <w:rFonts w:asciiTheme="minorHAnsi" w:hAnsiTheme="minorHAnsi"/>
                <w:color w:val="auto"/>
                <w:sz w:val="24"/>
                <w:szCs w:val="24"/>
              </w:rPr>
              <w:t>Pop</w:t>
            </w:r>
          </w:p>
          <w:p w:rsidR="003441BF" w:rsidRPr="00A929CE" w:rsidRDefault="003441BF" w:rsidP="00112EE9">
            <w:pPr>
              <w:pStyle w:val="Tbltxt"/>
              <w:spacing w:line="360" w:lineRule="auto"/>
              <w:jc w:val="both"/>
              <w:cnfStyle w:val="100000000000" w:firstRow="1" w:lastRow="0" w:firstColumn="0" w:lastColumn="0" w:oddVBand="0" w:evenVBand="0" w:oddHBand="0" w:evenHBand="0" w:firstRowFirstColumn="0" w:firstRowLastColumn="0" w:lastRowFirstColumn="0" w:lastRowLastColumn="0"/>
              <w:rPr>
                <w:rFonts w:asciiTheme="minorHAnsi" w:hAnsiTheme="minorHAnsi"/>
                <w:color w:val="auto"/>
                <w:sz w:val="24"/>
                <w:szCs w:val="24"/>
              </w:rPr>
            </w:pPr>
            <w:r w:rsidRPr="00A929CE">
              <w:rPr>
                <w:rFonts w:asciiTheme="minorHAnsi" w:hAnsiTheme="minorHAnsi"/>
                <w:color w:val="auto"/>
                <w:sz w:val="24"/>
                <w:szCs w:val="24"/>
              </w:rPr>
              <w:t>2015</w:t>
            </w:r>
          </w:p>
        </w:tc>
        <w:tc>
          <w:tcPr>
            <w:tcW w:w="1843" w:type="dxa"/>
            <w:shd w:val="clear" w:color="auto" w:fill="9FC0D5" w:themeFill="text2" w:themeFillTint="66"/>
          </w:tcPr>
          <w:p w:rsidR="003441BF" w:rsidRPr="00A929CE" w:rsidRDefault="003441BF" w:rsidP="00A929CE">
            <w:pPr>
              <w:pStyle w:val="Tbltxt"/>
              <w:spacing w:line="360" w:lineRule="auto"/>
              <w:jc w:val="both"/>
              <w:cnfStyle w:val="100000000000" w:firstRow="1" w:lastRow="0" w:firstColumn="0" w:lastColumn="0" w:oddVBand="0" w:evenVBand="0" w:oddHBand="0" w:evenHBand="0" w:firstRowFirstColumn="0" w:firstRowLastColumn="0" w:lastRowFirstColumn="0" w:lastRowLastColumn="0"/>
              <w:rPr>
                <w:rFonts w:asciiTheme="minorHAnsi" w:hAnsiTheme="minorHAnsi"/>
                <w:color w:val="auto"/>
                <w:sz w:val="24"/>
                <w:szCs w:val="24"/>
              </w:rPr>
            </w:pPr>
            <w:r w:rsidRPr="00A929CE">
              <w:rPr>
                <w:rFonts w:asciiTheme="minorHAnsi" w:hAnsiTheme="minorHAnsi"/>
                <w:color w:val="auto"/>
                <w:sz w:val="24"/>
                <w:szCs w:val="24"/>
              </w:rPr>
              <w:t>Pop ODD</w:t>
            </w:r>
          </w:p>
        </w:tc>
      </w:tr>
      <w:tr w:rsidR="006A0646" w:rsidRPr="00A929CE" w:rsidTr="006E0389">
        <w:trPr>
          <w:cnfStyle w:val="000000100000" w:firstRow="0" w:lastRow="0" w:firstColumn="0" w:lastColumn="0" w:oddVBand="0" w:evenVBand="0" w:oddHBand="1" w:evenHBand="0" w:firstRowFirstColumn="0" w:firstRowLastColumn="0" w:lastRowFirstColumn="0" w:lastRowLastColumn="0"/>
          <w:trHeight w:val="282"/>
          <w:jc w:val="center"/>
        </w:trPr>
        <w:tc>
          <w:tcPr>
            <w:cnfStyle w:val="001000000000" w:firstRow="0" w:lastRow="0" w:firstColumn="1" w:lastColumn="0" w:oddVBand="0" w:evenVBand="0" w:oddHBand="0" w:evenHBand="0" w:firstRowFirstColumn="0" w:firstRowLastColumn="0" w:lastRowFirstColumn="0" w:lastRowLastColumn="0"/>
            <w:tcW w:w="2552" w:type="dxa"/>
            <w:vMerge w:val="restart"/>
            <w:shd w:val="clear" w:color="auto" w:fill="9FC0D5" w:themeFill="text2" w:themeFillTint="66"/>
            <w:vAlign w:val="center"/>
          </w:tcPr>
          <w:p w:rsidR="003441BF" w:rsidRPr="00A929CE" w:rsidRDefault="003441BF" w:rsidP="00B8772C">
            <w:pPr>
              <w:pStyle w:val="Tbltxt"/>
              <w:spacing w:line="360" w:lineRule="auto"/>
              <w:jc w:val="both"/>
              <w:rPr>
                <w:rFonts w:asciiTheme="minorHAnsi" w:hAnsiTheme="minorHAnsi"/>
                <w:color w:val="auto"/>
                <w:sz w:val="24"/>
                <w:szCs w:val="24"/>
              </w:rPr>
            </w:pPr>
            <w:r w:rsidRPr="00A929CE">
              <w:rPr>
                <w:rFonts w:asciiTheme="minorHAnsi" w:hAnsiTheme="minorHAnsi"/>
                <w:color w:val="auto"/>
                <w:sz w:val="24"/>
                <w:szCs w:val="24"/>
              </w:rPr>
              <w:t>Accès Assainissement</w:t>
            </w:r>
          </w:p>
        </w:tc>
        <w:tc>
          <w:tcPr>
            <w:tcW w:w="1309" w:type="dxa"/>
            <w:shd w:val="clear" w:color="auto" w:fill="9FC0D5" w:themeFill="text2" w:themeFillTint="66"/>
          </w:tcPr>
          <w:p w:rsidR="003441BF" w:rsidRPr="00A929CE" w:rsidRDefault="003441BF" w:rsidP="00B8772C">
            <w:pPr>
              <w:pStyle w:val="Tbltxt"/>
              <w:spacing w:line="360" w:lineRule="auto"/>
              <w:jc w:val="both"/>
              <w:cnfStyle w:val="000000100000" w:firstRow="0" w:lastRow="0" w:firstColumn="0" w:lastColumn="0" w:oddVBand="0" w:evenVBand="0" w:oddHBand="1" w:evenHBand="0" w:firstRowFirstColumn="0" w:firstRowLastColumn="0" w:lastRowFirstColumn="0" w:lastRowLastColumn="0"/>
              <w:rPr>
                <w:rFonts w:asciiTheme="minorHAnsi" w:hAnsiTheme="minorHAnsi"/>
                <w:sz w:val="24"/>
                <w:szCs w:val="24"/>
              </w:rPr>
            </w:pPr>
            <w:r w:rsidRPr="00A929CE">
              <w:rPr>
                <w:rFonts w:asciiTheme="minorHAnsi" w:hAnsiTheme="minorHAnsi"/>
                <w:sz w:val="24"/>
                <w:szCs w:val="24"/>
              </w:rPr>
              <w:t>Urbain</w:t>
            </w:r>
          </w:p>
        </w:tc>
        <w:tc>
          <w:tcPr>
            <w:tcW w:w="1701" w:type="dxa"/>
            <w:shd w:val="clear" w:color="auto" w:fill="9FC0D5" w:themeFill="text2" w:themeFillTint="66"/>
          </w:tcPr>
          <w:p w:rsidR="003441BF" w:rsidRPr="00A929CE" w:rsidRDefault="003441BF" w:rsidP="001754BB">
            <w:pPr>
              <w:pStyle w:val="Tbltxt"/>
              <w:spacing w:line="360" w:lineRule="auto"/>
              <w:jc w:val="both"/>
              <w:cnfStyle w:val="000000100000" w:firstRow="0" w:lastRow="0" w:firstColumn="0" w:lastColumn="0" w:oddVBand="0" w:evenVBand="0" w:oddHBand="1" w:evenHBand="0" w:firstRowFirstColumn="0" w:firstRowLastColumn="0" w:lastRowFirstColumn="0" w:lastRowLastColumn="0"/>
              <w:rPr>
                <w:rFonts w:asciiTheme="minorHAnsi" w:hAnsiTheme="minorHAnsi"/>
                <w:sz w:val="24"/>
                <w:szCs w:val="24"/>
              </w:rPr>
            </w:pPr>
            <w:r w:rsidRPr="00A929CE">
              <w:rPr>
                <w:rFonts w:asciiTheme="minorHAnsi" w:hAnsiTheme="minorHAnsi"/>
                <w:sz w:val="24"/>
                <w:szCs w:val="24"/>
              </w:rPr>
              <w:t>41%</w:t>
            </w:r>
          </w:p>
        </w:tc>
        <w:tc>
          <w:tcPr>
            <w:tcW w:w="1701" w:type="dxa"/>
            <w:shd w:val="clear" w:color="auto" w:fill="9FC0D5" w:themeFill="text2" w:themeFillTint="66"/>
          </w:tcPr>
          <w:p w:rsidR="003441BF" w:rsidRPr="00A929CE" w:rsidRDefault="009170FB" w:rsidP="001754BB">
            <w:pPr>
              <w:pStyle w:val="Tbltxt"/>
              <w:spacing w:line="360" w:lineRule="auto"/>
              <w:jc w:val="both"/>
              <w:cnfStyle w:val="000000100000" w:firstRow="0" w:lastRow="0" w:firstColumn="0" w:lastColumn="0" w:oddVBand="0" w:evenVBand="0" w:oddHBand="1" w:evenHBand="0" w:firstRowFirstColumn="0" w:firstRowLastColumn="0" w:lastRowFirstColumn="0" w:lastRowLastColumn="0"/>
              <w:rPr>
                <w:rFonts w:asciiTheme="minorHAnsi" w:hAnsiTheme="minorHAnsi"/>
                <w:sz w:val="24"/>
                <w:szCs w:val="24"/>
              </w:rPr>
            </w:pPr>
            <w:r w:rsidRPr="00A929CE">
              <w:rPr>
                <w:rFonts w:asciiTheme="minorHAnsi" w:hAnsiTheme="minorHAnsi"/>
                <w:sz w:val="24"/>
                <w:szCs w:val="24"/>
              </w:rPr>
              <w:t>3.04</w:t>
            </w:r>
          </w:p>
        </w:tc>
        <w:tc>
          <w:tcPr>
            <w:tcW w:w="1843" w:type="dxa"/>
            <w:shd w:val="clear" w:color="auto" w:fill="9FC0D5" w:themeFill="text2" w:themeFillTint="66"/>
          </w:tcPr>
          <w:p w:rsidR="003441BF" w:rsidRPr="00A929CE" w:rsidRDefault="003441BF" w:rsidP="00BC7FF5">
            <w:pPr>
              <w:pStyle w:val="Tbltxt"/>
              <w:spacing w:line="360" w:lineRule="auto"/>
              <w:jc w:val="both"/>
              <w:cnfStyle w:val="000000100000" w:firstRow="0" w:lastRow="0" w:firstColumn="0" w:lastColumn="0" w:oddVBand="0" w:evenVBand="0" w:oddHBand="1" w:evenHBand="0" w:firstRowFirstColumn="0" w:firstRowLastColumn="0" w:lastRowFirstColumn="0" w:lastRowLastColumn="0"/>
              <w:rPr>
                <w:rFonts w:asciiTheme="minorHAnsi" w:hAnsiTheme="minorHAnsi"/>
                <w:sz w:val="24"/>
                <w:szCs w:val="24"/>
              </w:rPr>
            </w:pPr>
            <w:r w:rsidRPr="00A929CE">
              <w:rPr>
                <w:rFonts w:asciiTheme="minorHAnsi" w:hAnsiTheme="minorHAnsi"/>
                <w:sz w:val="24"/>
                <w:szCs w:val="24"/>
              </w:rPr>
              <w:t>11,3</w:t>
            </w:r>
          </w:p>
        </w:tc>
      </w:tr>
      <w:tr w:rsidR="006A0646" w:rsidRPr="00A929CE" w:rsidTr="006E0389">
        <w:trPr>
          <w:trHeight w:val="282"/>
          <w:jc w:val="center"/>
        </w:trPr>
        <w:tc>
          <w:tcPr>
            <w:cnfStyle w:val="001000000000" w:firstRow="0" w:lastRow="0" w:firstColumn="1" w:lastColumn="0" w:oddVBand="0" w:evenVBand="0" w:oddHBand="0" w:evenHBand="0" w:firstRowFirstColumn="0" w:firstRowLastColumn="0" w:lastRowFirstColumn="0" w:lastRowLastColumn="0"/>
            <w:tcW w:w="2552" w:type="dxa"/>
            <w:vMerge/>
            <w:shd w:val="clear" w:color="auto" w:fill="9FC0D5" w:themeFill="text2" w:themeFillTint="66"/>
          </w:tcPr>
          <w:p w:rsidR="003441BF" w:rsidRPr="00A929CE" w:rsidRDefault="003441BF" w:rsidP="00A929CE">
            <w:pPr>
              <w:pStyle w:val="Tbltxt"/>
              <w:spacing w:line="360" w:lineRule="auto"/>
              <w:jc w:val="both"/>
              <w:rPr>
                <w:rFonts w:asciiTheme="minorHAnsi" w:hAnsiTheme="minorHAnsi"/>
                <w:color w:val="auto"/>
                <w:sz w:val="24"/>
                <w:szCs w:val="24"/>
              </w:rPr>
            </w:pPr>
          </w:p>
        </w:tc>
        <w:tc>
          <w:tcPr>
            <w:tcW w:w="1309" w:type="dxa"/>
            <w:shd w:val="clear" w:color="auto" w:fill="9FC0D5" w:themeFill="text2" w:themeFillTint="66"/>
          </w:tcPr>
          <w:p w:rsidR="003441BF" w:rsidRPr="00A929CE" w:rsidRDefault="003441BF" w:rsidP="00A929CE">
            <w:pPr>
              <w:pStyle w:val="Tbltxt"/>
              <w:spacing w:line="360" w:lineRule="auto"/>
              <w:jc w:val="both"/>
              <w:cnfStyle w:val="000000000000" w:firstRow="0" w:lastRow="0" w:firstColumn="0" w:lastColumn="0" w:oddVBand="0" w:evenVBand="0" w:oddHBand="0" w:evenHBand="0" w:firstRowFirstColumn="0" w:firstRowLastColumn="0" w:lastRowFirstColumn="0" w:lastRowLastColumn="0"/>
              <w:rPr>
                <w:rFonts w:asciiTheme="minorHAnsi" w:hAnsiTheme="minorHAnsi"/>
                <w:sz w:val="24"/>
                <w:szCs w:val="24"/>
              </w:rPr>
            </w:pPr>
            <w:r w:rsidRPr="00A929CE">
              <w:rPr>
                <w:rFonts w:asciiTheme="minorHAnsi" w:hAnsiTheme="minorHAnsi"/>
                <w:sz w:val="24"/>
                <w:szCs w:val="24"/>
              </w:rPr>
              <w:t>Rural</w:t>
            </w:r>
          </w:p>
        </w:tc>
        <w:tc>
          <w:tcPr>
            <w:tcW w:w="1701" w:type="dxa"/>
            <w:shd w:val="clear" w:color="auto" w:fill="9FC0D5" w:themeFill="text2" w:themeFillTint="66"/>
          </w:tcPr>
          <w:p w:rsidR="003441BF" w:rsidRPr="00A929CE" w:rsidRDefault="003441BF" w:rsidP="00A929CE">
            <w:pPr>
              <w:pStyle w:val="Tbltxt"/>
              <w:spacing w:line="360" w:lineRule="auto"/>
              <w:jc w:val="both"/>
              <w:cnfStyle w:val="000000000000" w:firstRow="0" w:lastRow="0" w:firstColumn="0" w:lastColumn="0" w:oddVBand="0" w:evenVBand="0" w:oddHBand="0" w:evenHBand="0" w:firstRowFirstColumn="0" w:firstRowLastColumn="0" w:lastRowFirstColumn="0" w:lastRowLastColumn="0"/>
              <w:rPr>
                <w:rFonts w:asciiTheme="minorHAnsi" w:hAnsiTheme="minorHAnsi"/>
                <w:sz w:val="24"/>
                <w:szCs w:val="24"/>
              </w:rPr>
            </w:pPr>
            <w:r w:rsidRPr="00A929CE">
              <w:rPr>
                <w:rFonts w:asciiTheme="minorHAnsi" w:hAnsiTheme="minorHAnsi"/>
                <w:sz w:val="24"/>
                <w:szCs w:val="24"/>
              </w:rPr>
              <w:t>17%</w:t>
            </w:r>
          </w:p>
        </w:tc>
        <w:tc>
          <w:tcPr>
            <w:tcW w:w="1701" w:type="dxa"/>
            <w:shd w:val="clear" w:color="auto" w:fill="9FC0D5" w:themeFill="text2" w:themeFillTint="66"/>
          </w:tcPr>
          <w:p w:rsidR="003441BF" w:rsidRPr="00A929CE" w:rsidRDefault="009170FB" w:rsidP="00A929CE">
            <w:pPr>
              <w:pStyle w:val="Tbltxt"/>
              <w:spacing w:line="360" w:lineRule="auto"/>
              <w:jc w:val="both"/>
              <w:cnfStyle w:val="000000000000" w:firstRow="0" w:lastRow="0" w:firstColumn="0" w:lastColumn="0" w:oddVBand="0" w:evenVBand="0" w:oddHBand="0" w:evenHBand="0" w:firstRowFirstColumn="0" w:firstRowLastColumn="0" w:lastRowFirstColumn="0" w:lastRowLastColumn="0"/>
              <w:rPr>
                <w:rFonts w:asciiTheme="minorHAnsi" w:hAnsiTheme="minorHAnsi"/>
                <w:sz w:val="24"/>
                <w:szCs w:val="24"/>
              </w:rPr>
            </w:pPr>
            <w:r w:rsidRPr="00A929CE">
              <w:rPr>
                <w:rFonts w:asciiTheme="minorHAnsi" w:hAnsiTheme="minorHAnsi"/>
                <w:sz w:val="24"/>
                <w:szCs w:val="24"/>
              </w:rPr>
              <w:t>2.45</w:t>
            </w:r>
          </w:p>
        </w:tc>
        <w:tc>
          <w:tcPr>
            <w:tcW w:w="1843" w:type="dxa"/>
            <w:shd w:val="clear" w:color="auto" w:fill="9FC0D5" w:themeFill="text2" w:themeFillTint="66"/>
          </w:tcPr>
          <w:p w:rsidR="003441BF" w:rsidRPr="00A929CE" w:rsidRDefault="003441BF" w:rsidP="00A929CE">
            <w:pPr>
              <w:pStyle w:val="Tbltxt"/>
              <w:spacing w:line="360" w:lineRule="auto"/>
              <w:jc w:val="both"/>
              <w:cnfStyle w:val="000000000000" w:firstRow="0" w:lastRow="0" w:firstColumn="0" w:lastColumn="0" w:oddVBand="0" w:evenVBand="0" w:oddHBand="0" w:evenHBand="0" w:firstRowFirstColumn="0" w:firstRowLastColumn="0" w:lastRowFirstColumn="0" w:lastRowLastColumn="0"/>
              <w:rPr>
                <w:rFonts w:asciiTheme="minorHAnsi" w:hAnsiTheme="minorHAnsi"/>
                <w:sz w:val="24"/>
                <w:szCs w:val="24"/>
              </w:rPr>
            </w:pPr>
            <w:r w:rsidRPr="00A929CE">
              <w:rPr>
                <w:rFonts w:asciiTheme="minorHAnsi" w:hAnsiTheme="minorHAnsi"/>
                <w:sz w:val="24"/>
                <w:szCs w:val="24"/>
              </w:rPr>
              <w:t>12,4</w:t>
            </w:r>
          </w:p>
        </w:tc>
      </w:tr>
      <w:tr w:rsidR="006A0646" w:rsidRPr="00A929CE" w:rsidTr="006E0389">
        <w:trPr>
          <w:cnfStyle w:val="000000100000" w:firstRow="0" w:lastRow="0" w:firstColumn="0" w:lastColumn="0" w:oddVBand="0" w:evenVBand="0" w:oddHBand="1" w:evenHBand="0" w:firstRowFirstColumn="0" w:firstRowLastColumn="0" w:lastRowFirstColumn="0" w:lastRowLastColumn="0"/>
          <w:trHeight w:val="282"/>
          <w:jc w:val="center"/>
        </w:trPr>
        <w:tc>
          <w:tcPr>
            <w:cnfStyle w:val="001000000000" w:firstRow="0" w:lastRow="0" w:firstColumn="1" w:lastColumn="0" w:oddVBand="0" w:evenVBand="0" w:oddHBand="0" w:evenHBand="0" w:firstRowFirstColumn="0" w:firstRowLastColumn="0" w:lastRowFirstColumn="0" w:lastRowLastColumn="0"/>
            <w:tcW w:w="2552" w:type="dxa"/>
            <w:vMerge/>
            <w:shd w:val="clear" w:color="auto" w:fill="9FC0D5" w:themeFill="text2" w:themeFillTint="66"/>
          </w:tcPr>
          <w:p w:rsidR="003441BF" w:rsidRPr="00A929CE" w:rsidRDefault="003441BF" w:rsidP="00A929CE">
            <w:pPr>
              <w:pStyle w:val="Tbltxt"/>
              <w:spacing w:line="360" w:lineRule="auto"/>
              <w:jc w:val="both"/>
              <w:rPr>
                <w:rFonts w:asciiTheme="minorHAnsi" w:hAnsiTheme="minorHAnsi"/>
                <w:color w:val="auto"/>
                <w:sz w:val="24"/>
                <w:szCs w:val="24"/>
              </w:rPr>
            </w:pPr>
          </w:p>
        </w:tc>
        <w:tc>
          <w:tcPr>
            <w:tcW w:w="1309" w:type="dxa"/>
            <w:shd w:val="clear" w:color="auto" w:fill="9FC0D5" w:themeFill="text2" w:themeFillTint="66"/>
          </w:tcPr>
          <w:p w:rsidR="003441BF" w:rsidRPr="00A929CE" w:rsidRDefault="003441BF" w:rsidP="00A929CE">
            <w:pPr>
              <w:pStyle w:val="Tbltxt"/>
              <w:spacing w:line="360" w:lineRule="auto"/>
              <w:jc w:val="both"/>
              <w:cnfStyle w:val="000000100000" w:firstRow="0" w:lastRow="0" w:firstColumn="0" w:lastColumn="0" w:oddVBand="0" w:evenVBand="0" w:oddHBand="1" w:evenHBand="0" w:firstRowFirstColumn="0" w:firstRowLastColumn="0" w:lastRowFirstColumn="0" w:lastRowLastColumn="0"/>
              <w:rPr>
                <w:rFonts w:asciiTheme="minorHAnsi" w:hAnsiTheme="minorHAnsi"/>
                <w:b/>
                <w:sz w:val="24"/>
                <w:szCs w:val="24"/>
              </w:rPr>
            </w:pPr>
            <w:r w:rsidRPr="00A929CE">
              <w:rPr>
                <w:rFonts w:asciiTheme="minorHAnsi" w:hAnsiTheme="minorHAnsi"/>
                <w:b/>
                <w:sz w:val="24"/>
                <w:szCs w:val="24"/>
              </w:rPr>
              <w:t>National</w:t>
            </w:r>
          </w:p>
        </w:tc>
        <w:tc>
          <w:tcPr>
            <w:tcW w:w="1701" w:type="dxa"/>
            <w:shd w:val="clear" w:color="auto" w:fill="9FC0D5" w:themeFill="text2" w:themeFillTint="66"/>
          </w:tcPr>
          <w:p w:rsidR="003441BF" w:rsidRPr="00A929CE" w:rsidRDefault="003441BF" w:rsidP="00A929CE">
            <w:pPr>
              <w:pStyle w:val="Tbltxt"/>
              <w:spacing w:line="360" w:lineRule="auto"/>
              <w:jc w:val="both"/>
              <w:cnfStyle w:val="000000100000" w:firstRow="0" w:lastRow="0" w:firstColumn="0" w:lastColumn="0" w:oddVBand="0" w:evenVBand="0" w:oddHBand="1" w:evenHBand="0" w:firstRowFirstColumn="0" w:firstRowLastColumn="0" w:lastRowFirstColumn="0" w:lastRowLastColumn="0"/>
              <w:rPr>
                <w:rFonts w:asciiTheme="minorHAnsi" w:hAnsiTheme="minorHAnsi"/>
                <w:b/>
                <w:sz w:val="24"/>
                <w:szCs w:val="24"/>
              </w:rPr>
            </w:pPr>
            <w:r w:rsidRPr="00A929CE">
              <w:rPr>
                <w:rFonts w:asciiTheme="minorHAnsi" w:hAnsiTheme="minorHAnsi"/>
                <w:b/>
                <w:sz w:val="24"/>
                <w:szCs w:val="24"/>
              </w:rPr>
              <w:t>22%</w:t>
            </w:r>
          </w:p>
        </w:tc>
        <w:tc>
          <w:tcPr>
            <w:tcW w:w="1701" w:type="dxa"/>
            <w:shd w:val="clear" w:color="auto" w:fill="9FC0D5" w:themeFill="text2" w:themeFillTint="66"/>
          </w:tcPr>
          <w:p w:rsidR="003441BF" w:rsidRPr="00A929CE" w:rsidRDefault="003441BF" w:rsidP="00A929CE">
            <w:pPr>
              <w:pStyle w:val="Tbltxt"/>
              <w:spacing w:line="360" w:lineRule="auto"/>
              <w:jc w:val="both"/>
              <w:cnfStyle w:val="000000100000" w:firstRow="0" w:lastRow="0" w:firstColumn="0" w:lastColumn="0" w:oddVBand="0" w:evenVBand="0" w:oddHBand="1" w:evenHBand="0" w:firstRowFirstColumn="0" w:firstRowLastColumn="0" w:lastRowFirstColumn="0" w:lastRowLastColumn="0"/>
              <w:rPr>
                <w:rFonts w:asciiTheme="minorHAnsi" w:hAnsiTheme="minorHAnsi"/>
                <w:b/>
                <w:sz w:val="24"/>
                <w:szCs w:val="24"/>
              </w:rPr>
            </w:pPr>
            <w:r w:rsidRPr="00A929CE">
              <w:rPr>
                <w:rFonts w:asciiTheme="minorHAnsi" w:hAnsiTheme="minorHAnsi"/>
                <w:b/>
                <w:sz w:val="24"/>
                <w:szCs w:val="24"/>
              </w:rPr>
              <w:t>3,9</w:t>
            </w:r>
          </w:p>
        </w:tc>
        <w:tc>
          <w:tcPr>
            <w:tcW w:w="1843" w:type="dxa"/>
            <w:shd w:val="clear" w:color="auto" w:fill="9FC0D5" w:themeFill="text2" w:themeFillTint="66"/>
          </w:tcPr>
          <w:p w:rsidR="003441BF" w:rsidRPr="00A929CE" w:rsidRDefault="003441BF" w:rsidP="00A929CE">
            <w:pPr>
              <w:pStyle w:val="Tbltxt"/>
              <w:spacing w:line="360" w:lineRule="auto"/>
              <w:jc w:val="both"/>
              <w:cnfStyle w:val="000000100000" w:firstRow="0" w:lastRow="0" w:firstColumn="0" w:lastColumn="0" w:oddVBand="0" w:evenVBand="0" w:oddHBand="1" w:evenHBand="0" w:firstRowFirstColumn="0" w:firstRowLastColumn="0" w:lastRowFirstColumn="0" w:lastRowLastColumn="0"/>
              <w:rPr>
                <w:rFonts w:asciiTheme="minorHAnsi" w:hAnsiTheme="minorHAnsi"/>
                <w:b/>
                <w:sz w:val="24"/>
                <w:szCs w:val="24"/>
              </w:rPr>
            </w:pPr>
            <w:r w:rsidRPr="00A929CE">
              <w:rPr>
                <w:rFonts w:asciiTheme="minorHAnsi" w:hAnsiTheme="minorHAnsi"/>
                <w:b/>
                <w:sz w:val="24"/>
                <w:szCs w:val="24"/>
              </w:rPr>
              <w:t>23,8</w:t>
            </w:r>
          </w:p>
        </w:tc>
      </w:tr>
    </w:tbl>
    <w:p w:rsidR="003441BF" w:rsidRPr="00BC7FF5" w:rsidRDefault="003441BF" w:rsidP="00B8772C">
      <w:pPr>
        <w:pStyle w:val="BodyText"/>
        <w:spacing w:line="360" w:lineRule="auto"/>
        <w:rPr>
          <w:rFonts w:asciiTheme="minorHAnsi" w:hAnsiTheme="minorHAnsi"/>
          <w:sz w:val="24"/>
          <w:szCs w:val="24"/>
        </w:rPr>
      </w:pPr>
      <w:r w:rsidRPr="00B8772C">
        <w:rPr>
          <w:rFonts w:asciiTheme="minorHAnsi" w:hAnsiTheme="minorHAnsi"/>
          <w:sz w:val="24"/>
          <w:szCs w:val="24"/>
        </w:rPr>
        <w:t xml:space="preserve">Dans le cadre de </w:t>
      </w:r>
      <w:r w:rsidR="00291989" w:rsidRPr="001754BB">
        <w:rPr>
          <w:rFonts w:asciiTheme="minorHAnsi" w:hAnsiTheme="minorHAnsi"/>
          <w:sz w:val="24"/>
          <w:szCs w:val="24"/>
        </w:rPr>
        <w:t>la</w:t>
      </w:r>
      <w:r w:rsidRPr="001754BB">
        <w:rPr>
          <w:rFonts w:asciiTheme="minorHAnsi" w:hAnsiTheme="minorHAnsi"/>
          <w:sz w:val="24"/>
          <w:szCs w:val="24"/>
        </w:rPr>
        <w:t xml:space="preserve"> relecture de la PNA, il s’agira de disposer d’une Politique Nationale d’Assainissement Horizon 2030 qui soit un cadre de référence pour l’ensemble des acteurs concernés. Cette nouvelle politique permettra</w:t>
      </w:r>
      <w:r w:rsidRPr="00BC7FF5">
        <w:rPr>
          <w:rFonts w:asciiTheme="minorHAnsi" w:hAnsiTheme="minorHAnsi"/>
          <w:sz w:val="24"/>
          <w:szCs w:val="24"/>
        </w:rPr>
        <w:t xml:space="preserve"> d’harmoniser les approches, de fédérer les énergies et de susciter le soutien des Partenaires Techniques et Financiers.</w:t>
      </w:r>
    </w:p>
    <w:p w:rsidR="007D68DB" w:rsidRPr="0022409F" w:rsidRDefault="0092566A" w:rsidP="00B8772C">
      <w:pPr>
        <w:pStyle w:val="Titre2"/>
        <w:spacing w:line="360" w:lineRule="auto"/>
        <w:rPr>
          <w:rFonts w:asciiTheme="minorHAnsi" w:hAnsiTheme="minorHAnsi"/>
          <w:szCs w:val="24"/>
        </w:rPr>
      </w:pPr>
      <w:bookmarkStart w:id="31" w:name="_Toc515443503"/>
      <w:bookmarkStart w:id="32" w:name="_Toc536448588"/>
      <w:bookmarkEnd w:id="31"/>
      <w:r w:rsidRPr="00BC7FF5">
        <w:rPr>
          <w:rFonts w:asciiTheme="minorHAnsi" w:hAnsiTheme="minorHAnsi"/>
          <w:szCs w:val="24"/>
        </w:rPr>
        <w:t>G</w:t>
      </w:r>
      <w:r w:rsidR="007D68DB" w:rsidRPr="0022409F">
        <w:rPr>
          <w:rFonts w:asciiTheme="minorHAnsi" w:hAnsiTheme="minorHAnsi"/>
          <w:szCs w:val="24"/>
        </w:rPr>
        <w:t>estion des eaux pluviales</w:t>
      </w:r>
      <w:bookmarkEnd w:id="32"/>
    </w:p>
    <w:p w:rsidR="007D5B02" w:rsidRPr="00A929CE" w:rsidRDefault="000F2EF0" w:rsidP="001754BB">
      <w:pPr>
        <w:shd w:val="clear" w:color="auto" w:fill="FFFFFF"/>
        <w:spacing w:after="300" w:line="360" w:lineRule="auto"/>
        <w:jc w:val="both"/>
        <w:textAlignment w:val="baseline"/>
        <w:rPr>
          <w:rFonts w:asciiTheme="minorHAnsi" w:hAnsiTheme="minorHAnsi"/>
          <w:sz w:val="24"/>
          <w:szCs w:val="24"/>
        </w:rPr>
      </w:pPr>
      <w:r>
        <w:rPr>
          <w:rFonts w:asciiTheme="minorHAnsi" w:eastAsia="Times New Roman" w:hAnsiTheme="minorHAnsi" w:cstheme="minorHAnsi"/>
          <w:color w:val="000000"/>
          <w:sz w:val="24"/>
          <w:szCs w:val="24"/>
          <w:lang w:eastAsia="fr-FR"/>
        </w:rPr>
        <w:t xml:space="preserve">Relativement </w:t>
      </w:r>
      <w:r w:rsidR="00291989" w:rsidRPr="00112EE9">
        <w:rPr>
          <w:rFonts w:asciiTheme="minorHAnsi" w:eastAsia="Times New Roman" w:hAnsiTheme="minorHAnsi" w:cstheme="minorHAnsi"/>
          <w:color w:val="000000"/>
          <w:sz w:val="24"/>
          <w:szCs w:val="24"/>
          <w:lang w:eastAsia="fr-FR"/>
        </w:rPr>
        <w:t xml:space="preserve">à la gestion des eaux pluviales, </w:t>
      </w:r>
      <w:r w:rsidR="000949BE" w:rsidRPr="00112EE9">
        <w:rPr>
          <w:rFonts w:asciiTheme="minorHAnsi" w:eastAsia="Times New Roman" w:hAnsiTheme="minorHAnsi" w:cstheme="minorHAnsi"/>
          <w:color w:val="000000"/>
          <w:sz w:val="24"/>
          <w:szCs w:val="24"/>
          <w:lang w:eastAsia="fr-FR"/>
        </w:rPr>
        <w:t>la collecte et l’évacuation des eaux de ruissellement se font par un réseau de caniveaux et de collecteurs</w:t>
      </w:r>
      <w:r w:rsidR="00291989" w:rsidRPr="00D863B8">
        <w:rPr>
          <w:rFonts w:asciiTheme="minorHAnsi" w:eastAsia="Times New Roman" w:hAnsiTheme="minorHAnsi" w:cstheme="minorHAnsi"/>
          <w:color w:val="000000"/>
          <w:sz w:val="24"/>
          <w:szCs w:val="24"/>
          <w:lang w:eastAsia="fr-FR"/>
        </w:rPr>
        <w:t xml:space="preserve">. </w:t>
      </w:r>
      <w:r w:rsidR="000949BE" w:rsidRPr="00D863B8">
        <w:rPr>
          <w:rFonts w:asciiTheme="minorHAnsi" w:eastAsia="Times New Roman" w:hAnsiTheme="minorHAnsi" w:cstheme="minorHAnsi"/>
          <w:color w:val="000000"/>
          <w:sz w:val="24"/>
          <w:szCs w:val="24"/>
          <w:lang w:eastAsia="fr-FR"/>
        </w:rPr>
        <w:t>L</w:t>
      </w:r>
      <w:r w:rsidR="00291989" w:rsidRPr="00D863B8">
        <w:rPr>
          <w:rFonts w:asciiTheme="minorHAnsi" w:eastAsia="Times New Roman" w:hAnsiTheme="minorHAnsi" w:cstheme="minorHAnsi"/>
          <w:color w:val="000000"/>
          <w:sz w:val="24"/>
          <w:szCs w:val="24"/>
          <w:lang w:eastAsia="fr-FR"/>
        </w:rPr>
        <w:t xml:space="preserve">’entretien des ouvrages existants </w:t>
      </w:r>
      <w:r w:rsidR="000949BE" w:rsidRPr="00D863B8">
        <w:rPr>
          <w:rFonts w:asciiTheme="minorHAnsi" w:eastAsia="Times New Roman" w:hAnsiTheme="minorHAnsi" w:cstheme="minorHAnsi"/>
          <w:color w:val="000000"/>
          <w:sz w:val="24"/>
          <w:szCs w:val="24"/>
          <w:lang w:eastAsia="fr-FR"/>
        </w:rPr>
        <w:t>est rendu difficile par l’occupation anarchique de l’espace et par l’utilisation du réseau à d’autres fins (rejet des eaux usées domestiques</w:t>
      </w:r>
      <w:r w:rsidR="00291989" w:rsidRPr="00A929CE">
        <w:rPr>
          <w:rFonts w:asciiTheme="minorHAnsi" w:eastAsia="Times New Roman" w:hAnsiTheme="minorHAnsi" w:cstheme="minorHAnsi"/>
          <w:color w:val="000000"/>
          <w:sz w:val="24"/>
          <w:szCs w:val="24"/>
          <w:lang w:eastAsia="fr-FR"/>
        </w:rPr>
        <w:t>, artisanales</w:t>
      </w:r>
      <w:r w:rsidR="000949BE" w:rsidRPr="00A929CE">
        <w:rPr>
          <w:rFonts w:asciiTheme="minorHAnsi" w:eastAsia="Times New Roman" w:hAnsiTheme="minorHAnsi" w:cstheme="minorHAnsi"/>
          <w:color w:val="000000"/>
          <w:sz w:val="24"/>
          <w:szCs w:val="24"/>
          <w:lang w:eastAsia="fr-FR"/>
        </w:rPr>
        <w:t xml:space="preserve"> et industrielles, dépotoirs d’ordures et de boues de vidange, et parfois même lieux de défécation). </w:t>
      </w:r>
      <w:r w:rsidR="00291989" w:rsidRPr="00A929CE">
        <w:rPr>
          <w:rFonts w:asciiTheme="minorHAnsi" w:eastAsia="Times New Roman" w:hAnsiTheme="minorHAnsi" w:cstheme="minorHAnsi"/>
          <w:color w:val="000000"/>
          <w:sz w:val="24"/>
          <w:szCs w:val="24"/>
          <w:lang w:eastAsia="fr-FR"/>
        </w:rPr>
        <w:t xml:space="preserve">Ces pratiques conduisent à </w:t>
      </w:r>
      <w:r w:rsidR="000949BE" w:rsidRPr="00A929CE">
        <w:rPr>
          <w:rFonts w:asciiTheme="minorHAnsi" w:eastAsia="Times New Roman" w:hAnsiTheme="minorHAnsi" w:cstheme="minorHAnsi"/>
          <w:color w:val="000000"/>
          <w:sz w:val="24"/>
          <w:szCs w:val="24"/>
          <w:lang w:eastAsia="fr-FR"/>
        </w:rPr>
        <w:t>l’obstruction</w:t>
      </w:r>
      <w:r w:rsidR="00291989" w:rsidRPr="00A929CE">
        <w:rPr>
          <w:rFonts w:asciiTheme="minorHAnsi" w:eastAsia="Times New Roman" w:hAnsiTheme="minorHAnsi" w:cstheme="minorHAnsi"/>
          <w:color w:val="000000"/>
          <w:sz w:val="24"/>
          <w:szCs w:val="24"/>
          <w:lang w:eastAsia="fr-FR"/>
        </w:rPr>
        <w:t xml:space="preserve">, voire, à </w:t>
      </w:r>
      <w:r w:rsidR="000949BE" w:rsidRPr="00A929CE">
        <w:rPr>
          <w:rFonts w:asciiTheme="minorHAnsi" w:eastAsia="Times New Roman" w:hAnsiTheme="minorHAnsi" w:cstheme="minorHAnsi"/>
          <w:color w:val="000000"/>
          <w:sz w:val="24"/>
          <w:szCs w:val="24"/>
          <w:lang w:eastAsia="fr-FR"/>
        </w:rPr>
        <w:t>la disparition du réseau. L’entretien des ouvrages n’est pas régulier</w:t>
      </w:r>
      <w:r>
        <w:rPr>
          <w:rFonts w:asciiTheme="minorHAnsi" w:eastAsia="Times New Roman" w:hAnsiTheme="minorHAnsi" w:cstheme="minorHAnsi"/>
          <w:color w:val="000000"/>
          <w:sz w:val="24"/>
          <w:szCs w:val="24"/>
          <w:lang w:eastAsia="fr-FR"/>
        </w:rPr>
        <w:t xml:space="preserve"> en ce qu’il </w:t>
      </w:r>
      <w:r w:rsidR="000949BE" w:rsidRPr="00A929CE">
        <w:rPr>
          <w:rFonts w:asciiTheme="minorHAnsi" w:eastAsia="Times New Roman" w:hAnsiTheme="minorHAnsi" w:cstheme="minorHAnsi"/>
          <w:color w:val="000000"/>
          <w:sz w:val="24"/>
          <w:szCs w:val="24"/>
          <w:lang w:eastAsia="fr-FR"/>
        </w:rPr>
        <w:t xml:space="preserve">n’intervient en général qu’à la veille des premières pluies. Les </w:t>
      </w:r>
      <w:r>
        <w:rPr>
          <w:rFonts w:asciiTheme="minorHAnsi" w:eastAsia="Times New Roman" w:hAnsiTheme="minorHAnsi" w:cstheme="minorHAnsi"/>
          <w:color w:val="000000"/>
          <w:sz w:val="24"/>
          <w:szCs w:val="24"/>
          <w:lang w:eastAsia="fr-FR"/>
        </w:rPr>
        <w:t xml:space="preserve">mauvaises </w:t>
      </w:r>
      <w:r w:rsidR="000949BE" w:rsidRPr="00A929CE">
        <w:rPr>
          <w:rFonts w:asciiTheme="minorHAnsi" w:eastAsia="Times New Roman" w:hAnsiTheme="minorHAnsi" w:cstheme="minorHAnsi"/>
          <w:color w:val="000000"/>
          <w:sz w:val="24"/>
          <w:szCs w:val="24"/>
          <w:lang w:eastAsia="fr-FR"/>
        </w:rPr>
        <w:t>conséquences</w:t>
      </w:r>
      <w:r>
        <w:rPr>
          <w:rFonts w:asciiTheme="minorHAnsi" w:eastAsia="Times New Roman" w:hAnsiTheme="minorHAnsi" w:cstheme="minorHAnsi"/>
          <w:color w:val="000000"/>
          <w:sz w:val="24"/>
          <w:szCs w:val="24"/>
          <w:lang w:eastAsia="fr-FR"/>
        </w:rPr>
        <w:t xml:space="preserve"> qui en résultent</w:t>
      </w:r>
      <w:r w:rsidR="000949BE" w:rsidRPr="00A929CE">
        <w:rPr>
          <w:rFonts w:asciiTheme="minorHAnsi" w:eastAsia="Times New Roman" w:hAnsiTheme="minorHAnsi" w:cstheme="minorHAnsi"/>
          <w:color w:val="000000"/>
          <w:sz w:val="24"/>
          <w:szCs w:val="24"/>
          <w:lang w:eastAsia="fr-FR"/>
        </w:rPr>
        <w:t xml:space="preserve"> sont sanitaires et environnementales</w:t>
      </w:r>
      <w:r w:rsidR="00A3100E" w:rsidRPr="00A929CE">
        <w:rPr>
          <w:rFonts w:asciiTheme="minorHAnsi" w:eastAsia="Times New Roman" w:hAnsiTheme="minorHAnsi" w:cstheme="minorHAnsi"/>
          <w:color w:val="000000"/>
          <w:sz w:val="24"/>
          <w:szCs w:val="24"/>
          <w:lang w:eastAsia="fr-FR"/>
        </w:rPr>
        <w:t xml:space="preserve">. </w:t>
      </w:r>
      <w:r w:rsidR="007D5B02" w:rsidRPr="00A929CE">
        <w:rPr>
          <w:rFonts w:asciiTheme="minorHAnsi" w:hAnsiTheme="minorHAnsi"/>
          <w:sz w:val="24"/>
          <w:szCs w:val="24"/>
        </w:rPr>
        <w:t>Dans la plupart des zones semi-urbaines et rurales, le système d’évacuation des eaux pluviales est inexistant. Quand il existe, il est construit de telle façon que l’eau de pluie s’écoule directement de la rue vers les caniveaux. Dans le cas des rues bitumées, cette évacuation s’effectue assez bien. Cependant, la plupart des rues sont en terre, ce qui favorise là encore le comblement des ouvrages.</w:t>
      </w:r>
      <w:r w:rsidR="00224F2E" w:rsidRPr="00A929CE">
        <w:rPr>
          <w:rFonts w:asciiTheme="minorHAnsi" w:hAnsiTheme="minorHAnsi"/>
          <w:sz w:val="24"/>
          <w:szCs w:val="24"/>
        </w:rPr>
        <w:t xml:space="preserve"> Le bilan cumulé des réalisations en 2017 </w:t>
      </w:r>
      <w:r>
        <w:rPr>
          <w:rFonts w:asciiTheme="minorHAnsi" w:hAnsiTheme="minorHAnsi"/>
          <w:sz w:val="24"/>
          <w:szCs w:val="24"/>
        </w:rPr>
        <w:t xml:space="preserve">des caniveaux </w:t>
      </w:r>
      <w:r w:rsidR="00224F2E" w:rsidRPr="00A929CE">
        <w:rPr>
          <w:rFonts w:asciiTheme="minorHAnsi" w:hAnsiTheme="minorHAnsi"/>
          <w:sz w:val="24"/>
          <w:szCs w:val="24"/>
        </w:rPr>
        <w:t>sur tout</w:t>
      </w:r>
      <w:r>
        <w:rPr>
          <w:rFonts w:asciiTheme="minorHAnsi" w:hAnsiTheme="minorHAnsi"/>
          <w:sz w:val="24"/>
          <w:szCs w:val="24"/>
        </w:rPr>
        <w:t>e</w:t>
      </w:r>
      <w:r w:rsidR="00224F2E" w:rsidRPr="00A929CE">
        <w:rPr>
          <w:rFonts w:asciiTheme="minorHAnsi" w:hAnsiTheme="minorHAnsi"/>
          <w:sz w:val="24"/>
          <w:szCs w:val="24"/>
        </w:rPr>
        <w:t xml:space="preserve"> l’étendue du territoire donne : </w:t>
      </w:r>
    </w:p>
    <w:p w:rsidR="00224F2E" w:rsidRPr="00A929CE" w:rsidRDefault="00224F2E" w:rsidP="00A929CE">
      <w:pPr>
        <w:pStyle w:val="Paragraphedeliste"/>
        <w:numPr>
          <w:ilvl w:val="0"/>
          <w:numId w:val="67"/>
        </w:numPr>
        <w:spacing w:line="360" w:lineRule="auto"/>
        <w:jc w:val="both"/>
        <w:rPr>
          <w:rFonts w:asciiTheme="minorHAnsi" w:eastAsia="Times New Roman" w:hAnsiTheme="minorHAnsi" w:cs="Times New Roman"/>
          <w:sz w:val="24"/>
          <w:szCs w:val="24"/>
          <w:lang w:eastAsia="fr-FR"/>
        </w:rPr>
      </w:pPr>
      <w:r w:rsidRPr="00A929CE">
        <w:rPr>
          <w:rFonts w:asciiTheme="minorHAnsi" w:hAnsiTheme="minorHAnsi"/>
          <w:sz w:val="24"/>
          <w:szCs w:val="24"/>
        </w:rPr>
        <w:t xml:space="preserve">Construction de collecteurs </w:t>
      </w:r>
      <w:r w:rsidRPr="00A929CE">
        <w:rPr>
          <w:rFonts w:asciiTheme="minorHAnsi" w:hAnsiTheme="minorHAnsi"/>
          <w:sz w:val="24"/>
          <w:szCs w:val="24"/>
        </w:rPr>
        <w:tab/>
      </w:r>
      <w:r w:rsidRPr="00A929CE">
        <w:rPr>
          <w:rFonts w:asciiTheme="minorHAnsi" w:hAnsiTheme="minorHAnsi"/>
          <w:sz w:val="24"/>
          <w:szCs w:val="24"/>
        </w:rPr>
        <w:tab/>
      </w:r>
      <w:r w:rsidRPr="00A929CE">
        <w:rPr>
          <w:rFonts w:asciiTheme="minorHAnsi" w:hAnsiTheme="minorHAnsi"/>
          <w:sz w:val="24"/>
          <w:szCs w:val="24"/>
        </w:rPr>
        <w:tab/>
      </w:r>
      <w:r w:rsidRPr="00A929CE">
        <w:rPr>
          <w:rFonts w:asciiTheme="minorHAnsi" w:hAnsiTheme="minorHAnsi"/>
          <w:sz w:val="24"/>
          <w:szCs w:val="24"/>
        </w:rPr>
        <w:tab/>
      </w:r>
      <w:r w:rsidRPr="00A929CE">
        <w:rPr>
          <w:rFonts w:asciiTheme="minorHAnsi" w:eastAsia="Times New Roman" w:hAnsiTheme="minorHAnsi" w:cs="Times New Roman"/>
          <w:sz w:val="24"/>
          <w:szCs w:val="24"/>
          <w:lang w:eastAsia="fr-FR"/>
        </w:rPr>
        <w:t>100406 mètres linéaires</w:t>
      </w:r>
    </w:p>
    <w:p w:rsidR="00224F2E" w:rsidRPr="00A929CE" w:rsidRDefault="00224F2E" w:rsidP="00A929CE">
      <w:pPr>
        <w:pStyle w:val="Paragraphedeliste"/>
        <w:numPr>
          <w:ilvl w:val="0"/>
          <w:numId w:val="67"/>
        </w:numPr>
        <w:spacing w:line="360" w:lineRule="auto"/>
        <w:jc w:val="both"/>
        <w:rPr>
          <w:rFonts w:asciiTheme="minorHAnsi" w:eastAsia="Times New Roman" w:hAnsiTheme="minorHAnsi" w:cs="Times New Roman"/>
          <w:sz w:val="24"/>
          <w:szCs w:val="24"/>
          <w:lang w:eastAsia="fr-FR"/>
        </w:rPr>
      </w:pPr>
      <w:r w:rsidRPr="00A929CE">
        <w:rPr>
          <w:rFonts w:asciiTheme="minorHAnsi" w:eastAsia="Times New Roman" w:hAnsiTheme="minorHAnsi" w:cs="Times New Roman"/>
          <w:sz w:val="24"/>
          <w:szCs w:val="24"/>
          <w:lang w:eastAsia="fr-FR"/>
        </w:rPr>
        <w:t>Construction de caniveaux</w:t>
      </w:r>
      <w:r w:rsidRPr="00A929CE">
        <w:rPr>
          <w:rFonts w:asciiTheme="minorHAnsi" w:eastAsia="Times New Roman" w:hAnsiTheme="minorHAnsi" w:cs="Times New Roman"/>
          <w:sz w:val="24"/>
          <w:szCs w:val="24"/>
          <w:lang w:eastAsia="fr-FR"/>
        </w:rPr>
        <w:tab/>
      </w:r>
      <w:r w:rsidRPr="00A929CE">
        <w:rPr>
          <w:rFonts w:asciiTheme="minorHAnsi" w:eastAsia="Times New Roman" w:hAnsiTheme="minorHAnsi" w:cs="Times New Roman"/>
          <w:sz w:val="24"/>
          <w:szCs w:val="24"/>
          <w:lang w:eastAsia="fr-FR"/>
        </w:rPr>
        <w:tab/>
      </w:r>
      <w:r w:rsidRPr="00A929CE">
        <w:rPr>
          <w:rFonts w:asciiTheme="minorHAnsi" w:eastAsia="Times New Roman" w:hAnsiTheme="minorHAnsi" w:cs="Times New Roman"/>
          <w:sz w:val="24"/>
          <w:szCs w:val="24"/>
          <w:lang w:eastAsia="fr-FR"/>
        </w:rPr>
        <w:tab/>
      </w:r>
      <w:r w:rsidRPr="00A929CE">
        <w:rPr>
          <w:rFonts w:asciiTheme="minorHAnsi" w:eastAsia="Times New Roman" w:hAnsiTheme="minorHAnsi" w:cs="Times New Roman"/>
          <w:sz w:val="24"/>
          <w:szCs w:val="24"/>
          <w:lang w:eastAsia="fr-FR"/>
        </w:rPr>
        <w:tab/>
        <w:t>353357 mètres linéaires</w:t>
      </w:r>
    </w:p>
    <w:p w:rsidR="00224F2E" w:rsidRPr="00A929CE" w:rsidRDefault="00224F2E" w:rsidP="00A929CE">
      <w:pPr>
        <w:pStyle w:val="Paragraphedeliste"/>
        <w:numPr>
          <w:ilvl w:val="0"/>
          <w:numId w:val="67"/>
        </w:numPr>
        <w:spacing w:line="360" w:lineRule="auto"/>
        <w:jc w:val="both"/>
        <w:rPr>
          <w:rFonts w:asciiTheme="minorHAnsi" w:eastAsia="Times New Roman" w:hAnsiTheme="minorHAnsi" w:cs="Times New Roman"/>
          <w:sz w:val="24"/>
          <w:szCs w:val="24"/>
          <w:lang w:eastAsia="fr-FR"/>
        </w:rPr>
      </w:pPr>
      <w:r w:rsidRPr="00A929CE">
        <w:rPr>
          <w:rFonts w:asciiTheme="minorHAnsi" w:hAnsiTheme="minorHAnsi"/>
          <w:sz w:val="24"/>
          <w:szCs w:val="24"/>
        </w:rPr>
        <w:t>Réhabilitation</w:t>
      </w:r>
      <w:r w:rsidRPr="00A929CE">
        <w:rPr>
          <w:rFonts w:asciiTheme="minorHAnsi" w:eastAsia="Calibri" w:hAnsiTheme="minorHAnsi"/>
          <w:sz w:val="24"/>
          <w:szCs w:val="24"/>
        </w:rPr>
        <w:t xml:space="preserve"> des collecteurs </w:t>
      </w:r>
      <w:r w:rsidRPr="00A929CE">
        <w:rPr>
          <w:rFonts w:asciiTheme="minorHAnsi" w:hAnsiTheme="minorHAnsi"/>
          <w:sz w:val="24"/>
          <w:szCs w:val="24"/>
        </w:rPr>
        <w:tab/>
      </w:r>
      <w:r w:rsidRPr="00A929CE">
        <w:rPr>
          <w:rFonts w:asciiTheme="minorHAnsi" w:hAnsiTheme="minorHAnsi"/>
          <w:sz w:val="24"/>
          <w:szCs w:val="24"/>
        </w:rPr>
        <w:tab/>
      </w:r>
      <w:r w:rsidRPr="00A929CE">
        <w:rPr>
          <w:rFonts w:asciiTheme="minorHAnsi" w:hAnsiTheme="minorHAnsi"/>
          <w:sz w:val="24"/>
          <w:szCs w:val="24"/>
        </w:rPr>
        <w:tab/>
      </w:r>
      <w:r w:rsidRPr="00A929CE">
        <w:rPr>
          <w:rFonts w:asciiTheme="minorHAnsi" w:hAnsiTheme="minorHAnsi"/>
          <w:sz w:val="24"/>
          <w:szCs w:val="24"/>
        </w:rPr>
        <w:tab/>
        <w:t xml:space="preserve">14819 </w:t>
      </w:r>
      <w:r w:rsidRPr="00A929CE">
        <w:rPr>
          <w:rFonts w:asciiTheme="minorHAnsi" w:eastAsia="Times New Roman" w:hAnsiTheme="minorHAnsi" w:cs="Times New Roman"/>
          <w:sz w:val="24"/>
          <w:szCs w:val="24"/>
          <w:lang w:eastAsia="fr-FR"/>
        </w:rPr>
        <w:t>mètres linéaires</w:t>
      </w:r>
    </w:p>
    <w:p w:rsidR="00224F2E" w:rsidRPr="00A929CE" w:rsidRDefault="00224F2E" w:rsidP="00A929CE">
      <w:pPr>
        <w:pStyle w:val="Paragraphedeliste"/>
        <w:numPr>
          <w:ilvl w:val="0"/>
          <w:numId w:val="67"/>
        </w:numPr>
        <w:spacing w:line="360" w:lineRule="auto"/>
        <w:jc w:val="both"/>
        <w:rPr>
          <w:rFonts w:asciiTheme="minorHAnsi" w:eastAsia="Times New Roman" w:hAnsiTheme="minorHAnsi" w:cs="Times New Roman"/>
          <w:sz w:val="24"/>
          <w:szCs w:val="24"/>
          <w:lang w:eastAsia="fr-FR"/>
        </w:rPr>
      </w:pPr>
      <w:r w:rsidRPr="00A929CE">
        <w:rPr>
          <w:rFonts w:asciiTheme="minorHAnsi" w:hAnsiTheme="minorHAnsi"/>
          <w:spacing w:val="-2"/>
          <w:sz w:val="24"/>
          <w:szCs w:val="24"/>
        </w:rPr>
        <w:t>Réhabilitation</w:t>
      </w:r>
      <w:r w:rsidRPr="00A929CE">
        <w:rPr>
          <w:rFonts w:asciiTheme="minorHAnsi" w:eastAsia="Calibri" w:hAnsiTheme="minorHAnsi"/>
          <w:spacing w:val="-2"/>
          <w:sz w:val="24"/>
          <w:szCs w:val="24"/>
        </w:rPr>
        <w:t xml:space="preserve"> des caniveaux</w:t>
      </w:r>
      <w:r w:rsidRPr="00A929CE">
        <w:rPr>
          <w:rFonts w:asciiTheme="minorHAnsi" w:hAnsiTheme="minorHAnsi"/>
          <w:spacing w:val="-2"/>
          <w:sz w:val="24"/>
          <w:szCs w:val="24"/>
        </w:rPr>
        <w:tab/>
      </w:r>
      <w:r w:rsidRPr="00A929CE">
        <w:rPr>
          <w:rFonts w:asciiTheme="minorHAnsi" w:hAnsiTheme="minorHAnsi"/>
          <w:spacing w:val="-2"/>
          <w:sz w:val="24"/>
          <w:szCs w:val="24"/>
        </w:rPr>
        <w:tab/>
      </w:r>
      <w:r w:rsidRPr="00A929CE">
        <w:rPr>
          <w:rFonts w:asciiTheme="minorHAnsi" w:hAnsiTheme="minorHAnsi"/>
          <w:spacing w:val="-2"/>
          <w:sz w:val="24"/>
          <w:szCs w:val="24"/>
        </w:rPr>
        <w:tab/>
        <w:t xml:space="preserve">128386 </w:t>
      </w:r>
      <w:r w:rsidRPr="00A929CE">
        <w:rPr>
          <w:rFonts w:asciiTheme="minorHAnsi" w:eastAsia="Times New Roman" w:hAnsiTheme="minorHAnsi" w:cs="Times New Roman"/>
          <w:sz w:val="24"/>
          <w:szCs w:val="24"/>
          <w:lang w:eastAsia="fr-FR"/>
        </w:rPr>
        <w:t>mètres linéaires</w:t>
      </w:r>
    </w:p>
    <w:p w:rsidR="00224F2E" w:rsidRPr="00A929CE" w:rsidRDefault="00224F2E" w:rsidP="00A929CE">
      <w:pPr>
        <w:spacing w:line="360" w:lineRule="auto"/>
        <w:ind w:left="360"/>
        <w:jc w:val="both"/>
        <w:rPr>
          <w:rFonts w:asciiTheme="minorHAnsi" w:eastAsia="Times New Roman" w:hAnsiTheme="minorHAnsi" w:cs="Times New Roman"/>
          <w:sz w:val="24"/>
          <w:szCs w:val="24"/>
          <w:lang w:eastAsia="fr-FR"/>
        </w:rPr>
      </w:pPr>
    </w:p>
    <w:p w:rsidR="00224F2E" w:rsidRPr="00A929CE" w:rsidRDefault="00224F2E" w:rsidP="00B8772C">
      <w:pPr>
        <w:spacing w:line="360" w:lineRule="auto"/>
        <w:ind w:firstLine="708"/>
        <w:jc w:val="both"/>
        <w:rPr>
          <w:rFonts w:asciiTheme="minorHAnsi" w:eastAsia="Times New Roman" w:hAnsiTheme="minorHAnsi" w:cs="Times New Roman"/>
          <w:sz w:val="24"/>
          <w:szCs w:val="24"/>
          <w:lang w:eastAsia="fr-FR"/>
        </w:rPr>
      </w:pPr>
      <w:r w:rsidRPr="00A929CE">
        <w:rPr>
          <w:rFonts w:asciiTheme="minorHAnsi" w:eastAsia="Times New Roman" w:hAnsiTheme="minorHAnsi" w:cs="Times New Roman"/>
          <w:sz w:val="24"/>
          <w:szCs w:val="24"/>
          <w:lang w:eastAsia="fr-FR"/>
        </w:rPr>
        <w:t xml:space="preserve">Il faut souligner que l’incivisme croissant des populations, ne milite pas pour une gestion </w:t>
      </w:r>
      <w:r w:rsidR="000F2EF0">
        <w:rPr>
          <w:rFonts w:asciiTheme="minorHAnsi" w:eastAsia="Times New Roman" w:hAnsiTheme="minorHAnsi" w:cs="Times New Roman"/>
          <w:sz w:val="24"/>
          <w:szCs w:val="24"/>
          <w:lang w:eastAsia="fr-FR"/>
        </w:rPr>
        <w:t xml:space="preserve">durable des ouvrages de drainage </w:t>
      </w:r>
      <w:r w:rsidR="00453352">
        <w:rPr>
          <w:rFonts w:asciiTheme="minorHAnsi" w:eastAsia="Times New Roman" w:hAnsiTheme="minorHAnsi" w:cs="Times New Roman"/>
          <w:sz w:val="24"/>
          <w:szCs w:val="24"/>
          <w:lang w:eastAsia="fr-FR"/>
        </w:rPr>
        <w:t xml:space="preserve">des </w:t>
      </w:r>
      <w:r w:rsidR="00453352" w:rsidRPr="00A929CE">
        <w:rPr>
          <w:rFonts w:asciiTheme="minorHAnsi" w:eastAsia="Times New Roman" w:hAnsiTheme="minorHAnsi" w:cs="Times New Roman"/>
          <w:sz w:val="24"/>
          <w:szCs w:val="24"/>
          <w:lang w:eastAsia="fr-FR"/>
        </w:rPr>
        <w:t>eaux</w:t>
      </w:r>
      <w:r w:rsidRPr="00A929CE">
        <w:rPr>
          <w:rFonts w:asciiTheme="minorHAnsi" w:eastAsia="Times New Roman" w:hAnsiTheme="minorHAnsi" w:cs="Times New Roman"/>
          <w:sz w:val="24"/>
          <w:szCs w:val="24"/>
          <w:lang w:eastAsia="fr-FR"/>
        </w:rPr>
        <w:t xml:space="preserve"> pluviales.</w:t>
      </w:r>
      <w:r w:rsidR="00127209" w:rsidRPr="00A929CE">
        <w:rPr>
          <w:rFonts w:asciiTheme="minorHAnsi" w:eastAsia="Times New Roman" w:hAnsiTheme="minorHAnsi" w:cs="Times New Roman"/>
          <w:sz w:val="24"/>
          <w:szCs w:val="24"/>
          <w:lang w:eastAsia="fr-FR"/>
        </w:rPr>
        <w:t xml:space="preserve"> En effet, </w:t>
      </w:r>
      <w:r w:rsidR="00127209" w:rsidRPr="00A929CE">
        <w:rPr>
          <w:rFonts w:asciiTheme="minorHAnsi" w:hAnsiTheme="minorHAnsi"/>
          <w:sz w:val="24"/>
          <w:szCs w:val="24"/>
        </w:rPr>
        <w:t xml:space="preserve">Les caniveaux conçus pour le drainage des eaux de pluies, sont utilisés </w:t>
      </w:r>
      <w:r w:rsidR="00FE5E85" w:rsidRPr="00A929CE">
        <w:rPr>
          <w:rFonts w:asciiTheme="minorHAnsi" w:hAnsiTheme="minorHAnsi"/>
          <w:sz w:val="24"/>
          <w:szCs w:val="24"/>
        </w:rPr>
        <w:t xml:space="preserve">par les populations </w:t>
      </w:r>
      <w:r w:rsidR="00127209" w:rsidRPr="00A929CE">
        <w:rPr>
          <w:rFonts w:asciiTheme="minorHAnsi" w:hAnsiTheme="minorHAnsi"/>
          <w:sz w:val="24"/>
          <w:szCs w:val="24"/>
        </w:rPr>
        <w:t xml:space="preserve">comme un système d’évacuation des toutes sortes de déchets, eaux grises, ordures ménagères, etc. Aujourd’hui, la vraie fonction des caniveaux est déviée rendant du même </w:t>
      </w:r>
      <w:r w:rsidR="00453352">
        <w:rPr>
          <w:rFonts w:asciiTheme="minorHAnsi" w:hAnsiTheme="minorHAnsi"/>
          <w:sz w:val="24"/>
          <w:szCs w:val="24"/>
        </w:rPr>
        <w:t xml:space="preserve">coup, </w:t>
      </w:r>
      <w:r w:rsidR="00453352" w:rsidRPr="00A929CE">
        <w:rPr>
          <w:rFonts w:asciiTheme="minorHAnsi" w:hAnsiTheme="minorHAnsi"/>
          <w:sz w:val="24"/>
          <w:szCs w:val="24"/>
        </w:rPr>
        <w:t>le</w:t>
      </w:r>
      <w:r w:rsidR="00127209" w:rsidRPr="00A929CE">
        <w:rPr>
          <w:rFonts w:asciiTheme="minorHAnsi" w:hAnsiTheme="minorHAnsi"/>
          <w:sz w:val="24"/>
          <w:szCs w:val="24"/>
        </w:rPr>
        <w:t xml:space="preserve"> curage difficile, voire, impossible. Les eaux pluviales </w:t>
      </w:r>
      <w:r w:rsidR="00453352" w:rsidRPr="00A929CE">
        <w:rPr>
          <w:rFonts w:asciiTheme="minorHAnsi" w:hAnsiTheme="minorHAnsi"/>
          <w:sz w:val="24"/>
          <w:szCs w:val="24"/>
        </w:rPr>
        <w:t>n</w:t>
      </w:r>
      <w:r w:rsidR="00453352">
        <w:rPr>
          <w:rFonts w:asciiTheme="minorHAnsi" w:hAnsiTheme="minorHAnsi"/>
          <w:sz w:val="24"/>
          <w:szCs w:val="24"/>
        </w:rPr>
        <w:t xml:space="preserve">’étant </w:t>
      </w:r>
      <w:r w:rsidR="00453352" w:rsidRPr="00A929CE">
        <w:rPr>
          <w:rFonts w:asciiTheme="minorHAnsi" w:hAnsiTheme="minorHAnsi"/>
          <w:sz w:val="24"/>
          <w:szCs w:val="24"/>
        </w:rPr>
        <w:t>pas</w:t>
      </w:r>
      <w:r w:rsidR="000F2EF0">
        <w:rPr>
          <w:rFonts w:asciiTheme="minorHAnsi" w:hAnsiTheme="minorHAnsi"/>
          <w:sz w:val="24"/>
          <w:szCs w:val="24"/>
        </w:rPr>
        <w:t xml:space="preserve"> efficacement</w:t>
      </w:r>
      <w:r w:rsidR="00127209" w:rsidRPr="00A929CE">
        <w:rPr>
          <w:rFonts w:asciiTheme="minorHAnsi" w:hAnsiTheme="minorHAnsi"/>
          <w:sz w:val="24"/>
          <w:szCs w:val="24"/>
        </w:rPr>
        <w:t xml:space="preserve"> évacuées</w:t>
      </w:r>
      <w:r w:rsidR="000F2EF0">
        <w:rPr>
          <w:rFonts w:asciiTheme="minorHAnsi" w:hAnsiTheme="minorHAnsi"/>
          <w:sz w:val="24"/>
          <w:szCs w:val="24"/>
        </w:rPr>
        <w:t xml:space="preserve">, </w:t>
      </w:r>
      <w:r w:rsidR="00127209" w:rsidRPr="00A929CE">
        <w:rPr>
          <w:rFonts w:asciiTheme="minorHAnsi" w:hAnsiTheme="minorHAnsi"/>
          <w:sz w:val="24"/>
          <w:szCs w:val="24"/>
        </w:rPr>
        <w:t xml:space="preserve"> les</w:t>
      </w:r>
      <w:r w:rsidR="00FE5E85" w:rsidRPr="00A929CE">
        <w:rPr>
          <w:rFonts w:asciiTheme="minorHAnsi" w:hAnsiTheme="minorHAnsi"/>
          <w:sz w:val="24"/>
          <w:szCs w:val="24"/>
        </w:rPr>
        <w:t xml:space="preserve"> habitations </w:t>
      </w:r>
      <w:r w:rsidR="000F2EF0">
        <w:rPr>
          <w:rFonts w:asciiTheme="minorHAnsi" w:hAnsiTheme="minorHAnsi"/>
          <w:sz w:val="24"/>
          <w:szCs w:val="24"/>
        </w:rPr>
        <w:t xml:space="preserve">et les </w:t>
      </w:r>
      <w:r w:rsidR="00127209" w:rsidRPr="00A929CE">
        <w:rPr>
          <w:rFonts w:asciiTheme="minorHAnsi" w:hAnsiTheme="minorHAnsi"/>
          <w:sz w:val="24"/>
          <w:szCs w:val="24"/>
        </w:rPr>
        <w:t xml:space="preserve">rues sont </w:t>
      </w:r>
      <w:r w:rsidR="000F2EF0">
        <w:rPr>
          <w:rFonts w:asciiTheme="minorHAnsi" w:hAnsiTheme="minorHAnsi"/>
          <w:sz w:val="24"/>
          <w:szCs w:val="24"/>
        </w:rPr>
        <w:t xml:space="preserve">en conséquence </w:t>
      </w:r>
      <w:r w:rsidR="00127209" w:rsidRPr="00A929CE">
        <w:rPr>
          <w:rFonts w:asciiTheme="minorHAnsi" w:hAnsiTheme="minorHAnsi"/>
          <w:sz w:val="24"/>
          <w:szCs w:val="24"/>
        </w:rPr>
        <w:t>inondées</w:t>
      </w:r>
      <w:r w:rsidR="00FE5E85" w:rsidRPr="00A929CE">
        <w:rPr>
          <w:rFonts w:asciiTheme="minorHAnsi" w:hAnsiTheme="minorHAnsi"/>
          <w:sz w:val="24"/>
          <w:szCs w:val="24"/>
        </w:rPr>
        <w:t xml:space="preserve"> pendant la saison des pluies.</w:t>
      </w:r>
    </w:p>
    <w:p w:rsidR="007D68DB" w:rsidRPr="00A929CE" w:rsidRDefault="00BA0AF1" w:rsidP="00B8772C">
      <w:pPr>
        <w:pStyle w:val="Titre2"/>
        <w:spacing w:line="360" w:lineRule="auto"/>
        <w:rPr>
          <w:rFonts w:asciiTheme="minorHAnsi" w:hAnsiTheme="minorHAnsi"/>
          <w:szCs w:val="24"/>
        </w:rPr>
      </w:pPr>
      <w:bookmarkStart w:id="33" w:name="_Toc515443505"/>
      <w:bookmarkStart w:id="34" w:name="_Toc536448589"/>
      <w:bookmarkEnd w:id="33"/>
      <w:r w:rsidRPr="00A929CE">
        <w:rPr>
          <w:rFonts w:asciiTheme="minorHAnsi" w:hAnsiTheme="minorHAnsi"/>
          <w:szCs w:val="24"/>
        </w:rPr>
        <w:t>G</w:t>
      </w:r>
      <w:r w:rsidR="007D68DB" w:rsidRPr="00A929CE">
        <w:rPr>
          <w:rFonts w:asciiTheme="minorHAnsi" w:hAnsiTheme="minorHAnsi"/>
          <w:szCs w:val="24"/>
        </w:rPr>
        <w:t>estion des déchets spéciaux</w:t>
      </w:r>
      <w:bookmarkEnd w:id="34"/>
    </w:p>
    <w:p w:rsidR="00432688" w:rsidRPr="00A929CE" w:rsidRDefault="00AD108C" w:rsidP="001754BB">
      <w:pPr>
        <w:pStyle w:val="BodyText"/>
        <w:spacing w:line="360" w:lineRule="auto"/>
        <w:rPr>
          <w:rFonts w:asciiTheme="minorHAnsi" w:hAnsiTheme="minorHAnsi" w:cstheme="minorHAnsi"/>
          <w:sz w:val="24"/>
          <w:szCs w:val="24"/>
        </w:rPr>
      </w:pPr>
      <w:r w:rsidRPr="00A929CE">
        <w:rPr>
          <w:rFonts w:asciiTheme="minorHAnsi" w:hAnsiTheme="minorHAnsi" w:cstheme="minorHAnsi"/>
          <w:sz w:val="24"/>
          <w:szCs w:val="24"/>
        </w:rPr>
        <w:t>Le</w:t>
      </w:r>
      <w:r w:rsidR="006B5C95" w:rsidRPr="00A929CE">
        <w:rPr>
          <w:rFonts w:asciiTheme="minorHAnsi" w:hAnsiTheme="minorHAnsi" w:cstheme="minorHAnsi"/>
          <w:sz w:val="24"/>
          <w:szCs w:val="24"/>
        </w:rPr>
        <w:t xml:space="preserve"> problème principal de la gestion des déchets spéciaux est le manque d’infrastructures destinées à leur élimination. La DNACPN ne possède pas actuellement les « moyens » nécessaires et requis pour une gestion des déchets médicaux. La loi stipule que « Tout détenteur de déchets dangereux doit signaler l’existence à la DNACPN en mentionnant les quantités et les modes d’élimination</w:t>
      </w:r>
      <w:r w:rsidR="001725BA">
        <w:rPr>
          <w:rFonts w:asciiTheme="minorHAnsi" w:hAnsiTheme="minorHAnsi" w:cstheme="minorHAnsi"/>
          <w:sz w:val="24"/>
          <w:szCs w:val="24"/>
        </w:rPr>
        <w:t> »</w:t>
      </w:r>
      <w:r w:rsidR="006B5C95" w:rsidRPr="00A929CE">
        <w:rPr>
          <w:rFonts w:asciiTheme="minorHAnsi" w:hAnsiTheme="minorHAnsi" w:cstheme="minorHAnsi"/>
          <w:sz w:val="24"/>
          <w:szCs w:val="24"/>
        </w:rPr>
        <w:t xml:space="preserve">. Cette </w:t>
      </w:r>
      <w:r w:rsidR="00453352">
        <w:rPr>
          <w:rFonts w:asciiTheme="minorHAnsi" w:hAnsiTheme="minorHAnsi" w:cstheme="minorHAnsi"/>
          <w:sz w:val="24"/>
          <w:szCs w:val="24"/>
        </w:rPr>
        <w:t xml:space="preserve">disposition </w:t>
      </w:r>
      <w:r w:rsidR="00453352" w:rsidRPr="00A929CE">
        <w:rPr>
          <w:rFonts w:asciiTheme="minorHAnsi" w:hAnsiTheme="minorHAnsi" w:cstheme="minorHAnsi"/>
          <w:sz w:val="24"/>
          <w:szCs w:val="24"/>
        </w:rPr>
        <w:t>ne</w:t>
      </w:r>
      <w:r w:rsidR="006B5C95" w:rsidRPr="00A929CE">
        <w:rPr>
          <w:rFonts w:asciiTheme="minorHAnsi" w:hAnsiTheme="minorHAnsi" w:cstheme="minorHAnsi"/>
          <w:sz w:val="24"/>
          <w:szCs w:val="24"/>
        </w:rPr>
        <w:t xml:space="preserve"> connaît aucune application à l’heure actuelle. Quant </w:t>
      </w:r>
      <w:r w:rsidR="00432688" w:rsidRPr="00A929CE">
        <w:rPr>
          <w:rFonts w:asciiTheme="minorHAnsi" w:hAnsiTheme="minorHAnsi" w:cstheme="minorHAnsi"/>
          <w:sz w:val="24"/>
          <w:szCs w:val="24"/>
        </w:rPr>
        <w:t>aux déchets bios médicaux</w:t>
      </w:r>
      <w:r w:rsidR="006B5C95" w:rsidRPr="00A929CE">
        <w:rPr>
          <w:rFonts w:asciiTheme="minorHAnsi" w:hAnsiTheme="minorHAnsi" w:cstheme="minorHAnsi"/>
          <w:sz w:val="24"/>
          <w:szCs w:val="24"/>
        </w:rPr>
        <w:t>, leur élimination se fait par des incinérateurs qui semblent ne pas répondre aux normes</w:t>
      </w:r>
      <w:r w:rsidR="000F2EF0">
        <w:rPr>
          <w:rFonts w:asciiTheme="minorHAnsi" w:hAnsiTheme="minorHAnsi" w:cstheme="minorHAnsi"/>
          <w:sz w:val="24"/>
          <w:szCs w:val="24"/>
        </w:rPr>
        <w:t xml:space="preserve"> existantes</w:t>
      </w:r>
      <w:r w:rsidR="006B5C95" w:rsidRPr="00A929CE">
        <w:rPr>
          <w:rFonts w:asciiTheme="minorHAnsi" w:hAnsiTheme="minorHAnsi" w:cstheme="minorHAnsi"/>
          <w:sz w:val="24"/>
          <w:szCs w:val="24"/>
        </w:rPr>
        <w:t xml:space="preserve">. </w:t>
      </w:r>
    </w:p>
    <w:p w:rsidR="00E456A1" w:rsidRPr="00A929CE" w:rsidRDefault="006B5C95" w:rsidP="001754BB">
      <w:pPr>
        <w:pStyle w:val="BodyText"/>
        <w:spacing w:line="360" w:lineRule="auto"/>
        <w:rPr>
          <w:rFonts w:asciiTheme="minorHAnsi" w:hAnsiTheme="minorHAnsi" w:cstheme="minorHAnsi"/>
          <w:sz w:val="24"/>
          <w:szCs w:val="24"/>
        </w:rPr>
      </w:pPr>
      <w:r w:rsidRPr="00A929CE">
        <w:rPr>
          <w:rFonts w:asciiTheme="minorHAnsi" w:hAnsiTheme="minorHAnsi" w:cstheme="minorHAnsi"/>
          <w:sz w:val="24"/>
          <w:szCs w:val="24"/>
        </w:rPr>
        <w:t>D’une manière générale, l</w:t>
      </w:r>
      <w:r w:rsidR="00AD108C" w:rsidRPr="00A929CE">
        <w:rPr>
          <w:rFonts w:asciiTheme="minorHAnsi" w:hAnsiTheme="minorHAnsi" w:cstheme="minorHAnsi"/>
          <w:sz w:val="24"/>
          <w:szCs w:val="24"/>
        </w:rPr>
        <w:t xml:space="preserve">a surveillance, le traitement et l’élimination des </w:t>
      </w:r>
      <w:r w:rsidRPr="00A929CE">
        <w:rPr>
          <w:rFonts w:asciiTheme="minorHAnsi" w:hAnsiTheme="minorHAnsi" w:cstheme="minorHAnsi"/>
          <w:sz w:val="24"/>
          <w:szCs w:val="24"/>
        </w:rPr>
        <w:t xml:space="preserve">déchets spéciaux restent </w:t>
      </w:r>
      <w:r w:rsidR="00AD108C" w:rsidRPr="00A929CE">
        <w:rPr>
          <w:rFonts w:asciiTheme="minorHAnsi" w:hAnsiTheme="minorHAnsi" w:cstheme="minorHAnsi"/>
          <w:sz w:val="24"/>
          <w:szCs w:val="24"/>
        </w:rPr>
        <w:t>aléatoire</w:t>
      </w:r>
      <w:r w:rsidR="000F2EF0">
        <w:rPr>
          <w:rFonts w:asciiTheme="minorHAnsi" w:hAnsiTheme="minorHAnsi" w:cstheme="minorHAnsi"/>
          <w:sz w:val="24"/>
          <w:szCs w:val="24"/>
        </w:rPr>
        <w:t>s</w:t>
      </w:r>
      <w:r w:rsidR="009241AE" w:rsidRPr="00A929CE">
        <w:rPr>
          <w:rFonts w:asciiTheme="minorHAnsi" w:hAnsiTheme="minorHAnsi" w:cstheme="minorHAnsi"/>
          <w:sz w:val="24"/>
          <w:szCs w:val="24"/>
        </w:rPr>
        <w:t xml:space="preserve"> car les équipements </w:t>
      </w:r>
      <w:r w:rsidR="00AD108C" w:rsidRPr="00A929CE">
        <w:rPr>
          <w:rFonts w:asciiTheme="minorHAnsi" w:hAnsiTheme="minorHAnsi" w:cstheme="minorHAnsi"/>
          <w:sz w:val="24"/>
          <w:szCs w:val="24"/>
        </w:rPr>
        <w:t>nécessaires à leur meilleure gestion sont rares.</w:t>
      </w:r>
      <w:r w:rsidR="009241AE" w:rsidRPr="00A929CE">
        <w:rPr>
          <w:rFonts w:asciiTheme="minorHAnsi" w:hAnsiTheme="minorHAnsi" w:cstheme="minorHAnsi"/>
          <w:sz w:val="24"/>
          <w:szCs w:val="24"/>
        </w:rPr>
        <w:t xml:space="preserve"> I</w:t>
      </w:r>
      <w:r w:rsidR="00A3100E" w:rsidRPr="00A929CE">
        <w:rPr>
          <w:rFonts w:asciiTheme="minorHAnsi" w:hAnsiTheme="minorHAnsi" w:cstheme="minorHAnsi"/>
          <w:sz w:val="24"/>
          <w:szCs w:val="24"/>
        </w:rPr>
        <w:t xml:space="preserve">l apparaît </w:t>
      </w:r>
      <w:r w:rsidR="009241AE" w:rsidRPr="00A929CE">
        <w:rPr>
          <w:rFonts w:asciiTheme="minorHAnsi" w:hAnsiTheme="minorHAnsi" w:cstheme="minorHAnsi"/>
          <w:sz w:val="24"/>
          <w:szCs w:val="24"/>
        </w:rPr>
        <w:t xml:space="preserve">également </w:t>
      </w:r>
      <w:r w:rsidR="00A3100E" w:rsidRPr="00A929CE">
        <w:rPr>
          <w:rFonts w:asciiTheme="minorHAnsi" w:hAnsiTheme="minorHAnsi" w:cstheme="minorHAnsi"/>
          <w:sz w:val="24"/>
          <w:szCs w:val="24"/>
        </w:rPr>
        <w:t>que les déchets toxiques des sites miniers</w:t>
      </w:r>
      <w:r w:rsidR="00CD476D">
        <w:rPr>
          <w:rFonts w:asciiTheme="minorHAnsi" w:hAnsiTheme="minorHAnsi" w:cstheme="minorHAnsi"/>
          <w:sz w:val="24"/>
          <w:szCs w:val="24"/>
        </w:rPr>
        <w:t>, faute d’un traitement adéquat,</w:t>
      </w:r>
      <w:r w:rsidR="00A3100E" w:rsidRPr="00A929CE">
        <w:rPr>
          <w:rFonts w:asciiTheme="minorHAnsi" w:hAnsiTheme="minorHAnsi" w:cstheme="minorHAnsi"/>
          <w:sz w:val="24"/>
          <w:szCs w:val="24"/>
        </w:rPr>
        <w:t xml:space="preserve"> causent</w:t>
      </w:r>
      <w:r w:rsidR="009241AE" w:rsidRPr="00A929CE">
        <w:rPr>
          <w:rFonts w:asciiTheme="minorHAnsi" w:hAnsiTheme="minorHAnsi" w:cstheme="minorHAnsi"/>
          <w:sz w:val="24"/>
          <w:szCs w:val="24"/>
        </w:rPr>
        <w:t xml:space="preserve"> aujourd’hui de</w:t>
      </w:r>
      <w:r w:rsidR="00A3100E" w:rsidRPr="00A929CE">
        <w:rPr>
          <w:rFonts w:asciiTheme="minorHAnsi" w:hAnsiTheme="minorHAnsi" w:cstheme="minorHAnsi"/>
          <w:sz w:val="24"/>
          <w:szCs w:val="24"/>
        </w:rPr>
        <w:t xml:space="preserve"> plus en plus des dégâts environnementaux et sanitaires dans les zones concernées.</w:t>
      </w:r>
    </w:p>
    <w:p w:rsidR="009241AE" w:rsidRPr="00A929CE" w:rsidRDefault="009241AE" w:rsidP="00BC7FF5">
      <w:pPr>
        <w:pStyle w:val="NormalWeb"/>
        <w:spacing w:before="0" w:beforeAutospacing="0" w:after="240" w:afterAutospacing="0" w:line="360" w:lineRule="auto"/>
        <w:jc w:val="both"/>
        <w:textAlignment w:val="top"/>
        <w:rPr>
          <w:rFonts w:asciiTheme="minorHAnsi" w:hAnsiTheme="minorHAnsi" w:cstheme="minorHAnsi"/>
          <w:color w:val="444444"/>
        </w:rPr>
      </w:pPr>
    </w:p>
    <w:p w:rsidR="00FA61B1" w:rsidRDefault="00FA61B1">
      <w:pPr>
        <w:spacing w:after="160" w:line="259" w:lineRule="auto"/>
        <w:rPr>
          <w:rFonts w:asciiTheme="minorHAnsi" w:hAnsiTheme="minorHAnsi" w:cstheme="minorHAnsi"/>
          <w:sz w:val="24"/>
          <w:szCs w:val="24"/>
        </w:rPr>
      </w:pPr>
      <w:r>
        <w:rPr>
          <w:rFonts w:asciiTheme="minorHAnsi" w:hAnsiTheme="minorHAnsi" w:cstheme="minorHAnsi"/>
          <w:sz w:val="24"/>
          <w:szCs w:val="24"/>
        </w:rPr>
        <w:br w:type="page"/>
      </w:r>
    </w:p>
    <w:p w:rsidR="0090292A" w:rsidRPr="00A929CE" w:rsidRDefault="00AD108C" w:rsidP="00112EE9">
      <w:pPr>
        <w:pStyle w:val="BodyText"/>
        <w:spacing w:line="360" w:lineRule="auto"/>
        <w:rPr>
          <w:rFonts w:asciiTheme="minorHAnsi" w:hAnsiTheme="minorHAnsi" w:cstheme="minorHAnsi"/>
          <w:sz w:val="24"/>
          <w:szCs w:val="24"/>
        </w:rPr>
      </w:pPr>
      <w:r w:rsidRPr="00A929CE">
        <w:rPr>
          <w:rFonts w:asciiTheme="minorHAnsi" w:hAnsiTheme="minorHAnsi" w:cstheme="minorHAnsi"/>
          <w:sz w:val="24"/>
          <w:szCs w:val="24"/>
        </w:rPr>
        <w:t xml:space="preserve">En conclusion, on peut noter que </w:t>
      </w:r>
      <w:r w:rsidR="0090292A" w:rsidRPr="00A929CE">
        <w:rPr>
          <w:rFonts w:asciiTheme="minorHAnsi" w:hAnsiTheme="minorHAnsi" w:cstheme="minorHAnsi"/>
          <w:sz w:val="24"/>
          <w:szCs w:val="24"/>
        </w:rPr>
        <w:t xml:space="preserve">la problématique de l’assainissement au Mali se caractérise par : </w:t>
      </w:r>
    </w:p>
    <w:p w:rsidR="0090292A" w:rsidRPr="001725BA" w:rsidRDefault="007D68DB" w:rsidP="001725BA">
      <w:pPr>
        <w:pStyle w:val="BodyText"/>
        <w:numPr>
          <w:ilvl w:val="0"/>
          <w:numId w:val="2"/>
        </w:numPr>
        <w:spacing w:line="360" w:lineRule="auto"/>
        <w:rPr>
          <w:rFonts w:asciiTheme="minorHAnsi" w:hAnsiTheme="minorHAnsi" w:cstheme="minorHAnsi"/>
          <w:sz w:val="24"/>
          <w:szCs w:val="24"/>
        </w:rPr>
      </w:pPr>
      <w:r w:rsidRPr="001725BA">
        <w:rPr>
          <w:rFonts w:asciiTheme="minorHAnsi" w:hAnsiTheme="minorHAnsi" w:cstheme="minorHAnsi"/>
          <w:sz w:val="24"/>
          <w:szCs w:val="24"/>
        </w:rPr>
        <w:t>U</w:t>
      </w:r>
      <w:r w:rsidR="0090292A" w:rsidRPr="001725BA">
        <w:rPr>
          <w:rFonts w:asciiTheme="minorHAnsi" w:hAnsiTheme="minorHAnsi" w:cstheme="minorHAnsi"/>
          <w:sz w:val="24"/>
          <w:szCs w:val="24"/>
        </w:rPr>
        <w:t>ne insuffisance des ouvrages d’assainissement tant au niveau collectif qu’au niveau des ménages ;</w:t>
      </w:r>
    </w:p>
    <w:p w:rsidR="0090292A" w:rsidRPr="001725BA" w:rsidRDefault="0090292A" w:rsidP="001725BA">
      <w:pPr>
        <w:pStyle w:val="BodyText"/>
        <w:numPr>
          <w:ilvl w:val="0"/>
          <w:numId w:val="2"/>
        </w:numPr>
        <w:spacing w:line="360" w:lineRule="auto"/>
        <w:rPr>
          <w:rFonts w:asciiTheme="minorHAnsi" w:hAnsiTheme="minorHAnsi" w:cstheme="minorHAnsi"/>
          <w:sz w:val="24"/>
          <w:szCs w:val="24"/>
        </w:rPr>
      </w:pPr>
      <w:r w:rsidRPr="001725BA">
        <w:rPr>
          <w:rFonts w:asciiTheme="minorHAnsi" w:hAnsiTheme="minorHAnsi" w:cstheme="minorHAnsi"/>
          <w:sz w:val="24"/>
          <w:szCs w:val="24"/>
        </w:rPr>
        <w:t>Un incivisme généralisé des populations ;</w:t>
      </w:r>
    </w:p>
    <w:p w:rsidR="0090292A" w:rsidRPr="001725BA" w:rsidRDefault="0090292A" w:rsidP="001725BA">
      <w:pPr>
        <w:pStyle w:val="BodyText"/>
        <w:numPr>
          <w:ilvl w:val="0"/>
          <w:numId w:val="2"/>
        </w:numPr>
        <w:spacing w:line="360" w:lineRule="auto"/>
        <w:rPr>
          <w:rFonts w:asciiTheme="minorHAnsi" w:hAnsiTheme="minorHAnsi" w:cstheme="minorHAnsi"/>
          <w:sz w:val="24"/>
          <w:szCs w:val="24"/>
        </w:rPr>
      </w:pPr>
      <w:r w:rsidRPr="001725BA">
        <w:rPr>
          <w:rFonts w:asciiTheme="minorHAnsi" w:hAnsiTheme="minorHAnsi" w:cstheme="minorHAnsi"/>
          <w:sz w:val="24"/>
          <w:szCs w:val="24"/>
        </w:rPr>
        <w:t>Un faible financement du sous-secteur ;</w:t>
      </w:r>
    </w:p>
    <w:p w:rsidR="0090292A" w:rsidRPr="00A929CE" w:rsidRDefault="0090292A" w:rsidP="00A929CE">
      <w:pPr>
        <w:pStyle w:val="BodyText"/>
        <w:numPr>
          <w:ilvl w:val="0"/>
          <w:numId w:val="2"/>
        </w:numPr>
        <w:spacing w:line="360" w:lineRule="auto"/>
        <w:rPr>
          <w:rFonts w:asciiTheme="minorHAnsi" w:hAnsiTheme="minorHAnsi" w:cstheme="minorHAnsi"/>
          <w:sz w:val="24"/>
          <w:szCs w:val="24"/>
        </w:rPr>
      </w:pPr>
      <w:r w:rsidRPr="00A929CE">
        <w:rPr>
          <w:rFonts w:asciiTheme="minorHAnsi" w:hAnsiTheme="minorHAnsi" w:cstheme="minorHAnsi"/>
          <w:sz w:val="24"/>
          <w:szCs w:val="24"/>
        </w:rPr>
        <w:t>Un manque de clarification du cadre institutionnel</w:t>
      </w:r>
      <w:r w:rsidR="00A3100E" w:rsidRPr="00A929CE">
        <w:rPr>
          <w:rFonts w:asciiTheme="minorHAnsi" w:hAnsiTheme="minorHAnsi" w:cstheme="minorHAnsi"/>
          <w:sz w:val="24"/>
          <w:szCs w:val="24"/>
        </w:rPr>
        <w:t>.</w:t>
      </w:r>
    </w:p>
    <w:p w:rsidR="00E44928" w:rsidRPr="00A929CE" w:rsidRDefault="005409D8" w:rsidP="00A929CE">
      <w:pPr>
        <w:pStyle w:val="Titre2"/>
        <w:spacing w:line="360" w:lineRule="auto"/>
        <w:rPr>
          <w:rFonts w:asciiTheme="minorHAnsi" w:hAnsiTheme="minorHAnsi"/>
          <w:szCs w:val="24"/>
        </w:rPr>
      </w:pPr>
      <w:bookmarkStart w:id="35" w:name="_Toc515962901"/>
      <w:bookmarkStart w:id="36" w:name="_Toc536448590"/>
      <w:r>
        <w:rPr>
          <w:rFonts w:asciiTheme="minorHAnsi" w:hAnsiTheme="minorHAnsi"/>
          <w:szCs w:val="24"/>
        </w:rPr>
        <w:t>M</w:t>
      </w:r>
      <w:r w:rsidR="00E44928" w:rsidRPr="00A929CE">
        <w:rPr>
          <w:rFonts w:asciiTheme="minorHAnsi" w:hAnsiTheme="minorHAnsi"/>
          <w:szCs w:val="24"/>
        </w:rPr>
        <w:t>ise en œuvre du cadre juridique et institutionnel</w:t>
      </w:r>
      <w:bookmarkEnd w:id="35"/>
      <w:bookmarkEnd w:id="36"/>
    </w:p>
    <w:p w:rsidR="00E44928" w:rsidRPr="00A929CE" w:rsidRDefault="00E44928" w:rsidP="00B8772C">
      <w:pPr>
        <w:spacing w:line="360" w:lineRule="auto"/>
        <w:jc w:val="both"/>
        <w:rPr>
          <w:rFonts w:asciiTheme="minorHAnsi" w:hAnsiTheme="minorHAnsi" w:cstheme="minorHAnsi"/>
          <w:sz w:val="24"/>
          <w:szCs w:val="24"/>
        </w:rPr>
      </w:pPr>
      <w:r w:rsidRPr="00A929CE">
        <w:rPr>
          <w:rFonts w:asciiTheme="minorHAnsi" w:hAnsiTheme="minorHAnsi" w:cstheme="minorHAnsi"/>
          <w:color w:val="000000"/>
          <w:sz w:val="24"/>
          <w:szCs w:val="24"/>
        </w:rPr>
        <w:t xml:space="preserve">De nombreux textes législatifs et réglementaires ont été adoptés en vue </w:t>
      </w:r>
      <w:r w:rsidRPr="00A929CE">
        <w:rPr>
          <w:rFonts w:asciiTheme="minorHAnsi" w:hAnsiTheme="minorHAnsi" w:cstheme="minorHAnsi"/>
          <w:sz w:val="24"/>
          <w:szCs w:val="24"/>
        </w:rPr>
        <w:t xml:space="preserve">de prendre en charge les questions relatives à l’assainissement. Ces textes qui posent le principe de la responsabilité des diverses parties prenantes sont contenus notamment dans le Code d’hygiène publique, la loi sur les pollutions et nuisances, le Code de l’eau, les lois et règlements relatifs à la protection de l’environnement, le Code général des collectivités territoriales, les lois et règlements portant sur l’aménagement de l’espace urbain, etc. </w:t>
      </w:r>
    </w:p>
    <w:p w:rsidR="00E44928" w:rsidRPr="00A929CE" w:rsidRDefault="00E44928" w:rsidP="00B8772C">
      <w:pPr>
        <w:spacing w:line="360" w:lineRule="auto"/>
        <w:jc w:val="both"/>
        <w:rPr>
          <w:rFonts w:asciiTheme="minorHAnsi" w:hAnsiTheme="minorHAnsi" w:cstheme="minorHAnsi"/>
          <w:sz w:val="24"/>
          <w:szCs w:val="24"/>
        </w:rPr>
      </w:pPr>
      <w:r w:rsidRPr="00A929CE">
        <w:rPr>
          <w:rFonts w:asciiTheme="minorHAnsi" w:hAnsiTheme="minorHAnsi" w:cstheme="minorHAnsi"/>
          <w:sz w:val="24"/>
          <w:szCs w:val="24"/>
        </w:rPr>
        <w:t xml:space="preserve">Certains de ces textes sont </w:t>
      </w:r>
      <w:r w:rsidR="00011506">
        <w:rPr>
          <w:rFonts w:asciiTheme="minorHAnsi" w:hAnsiTheme="minorHAnsi" w:cstheme="minorHAnsi"/>
          <w:sz w:val="24"/>
          <w:szCs w:val="24"/>
        </w:rPr>
        <w:t xml:space="preserve">sur plusieurs </w:t>
      </w:r>
      <w:r w:rsidR="00453352">
        <w:rPr>
          <w:rFonts w:asciiTheme="minorHAnsi" w:hAnsiTheme="minorHAnsi" w:cstheme="minorHAnsi"/>
          <w:sz w:val="24"/>
          <w:szCs w:val="24"/>
        </w:rPr>
        <w:t xml:space="preserve">points, </w:t>
      </w:r>
      <w:r w:rsidR="00453352" w:rsidRPr="00A929CE">
        <w:rPr>
          <w:rFonts w:asciiTheme="minorHAnsi" w:hAnsiTheme="minorHAnsi" w:cstheme="minorHAnsi"/>
          <w:sz w:val="24"/>
          <w:szCs w:val="24"/>
        </w:rPr>
        <w:t>dépassés</w:t>
      </w:r>
      <w:r w:rsidRPr="00A929CE">
        <w:rPr>
          <w:rFonts w:asciiTheme="minorHAnsi" w:hAnsiTheme="minorHAnsi" w:cstheme="minorHAnsi"/>
          <w:sz w:val="24"/>
          <w:szCs w:val="24"/>
        </w:rPr>
        <w:t xml:space="preserve"> et ont besoin d’être actualisés pour mieux prendre en compte certains défis. C’est le cas en particulier de la loi sur les pollutions et nuisances ou encore le Code d’hygiène publique. Il faut noter que le cadre juridique est épars et donc en proie à de nombreuses incohérences. L’émiettement qui caractérise la règlementation relative à l’assainissement est au moins en partie, la conséquence du foisonnement institutionnel lequel donne à la gestion du sous-secteur, l’aspect d’un véritable puzzle au sein duquel cohabitent diverses structures ayant des attributions souvent concurrentes.</w:t>
      </w:r>
    </w:p>
    <w:p w:rsidR="00E44928" w:rsidRPr="00A929CE" w:rsidRDefault="00E44928" w:rsidP="00A929CE">
      <w:pPr>
        <w:spacing w:line="360" w:lineRule="auto"/>
        <w:rPr>
          <w:rFonts w:asciiTheme="minorHAnsi" w:hAnsiTheme="minorHAnsi"/>
          <w:sz w:val="24"/>
          <w:szCs w:val="24"/>
        </w:rPr>
      </w:pPr>
      <w:r w:rsidRPr="00A929CE">
        <w:rPr>
          <w:rFonts w:asciiTheme="minorHAnsi" w:hAnsiTheme="minorHAnsi" w:cstheme="minorHAnsi"/>
          <w:sz w:val="24"/>
          <w:szCs w:val="24"/>
        </w:rPr>
        <w:t>Une illustration de ce chevauchement des compétences nous est fournie par l’ordonnance N°07-015 /P-RM du 28 mars 2007 portant création de l’Agence nationale de gestion des stations d’épuration du Mali.</w:t>
      </w:r>
    </w:p>
    <w:p w:rsidR="00E44928" w:rsidRPr="00A929CE" w:rsidRDefault="005409D8" w:rsidP="00A929CE">
      <w:pPr>
        <w:pStyle w:val="Titre2"/>
        <w:spacing w:line="360" w:lineRule="auto"/>
        <w:rPr>
          <w:rFonts w:asciiTheme="minorHAnsi" w:hAnsiTheme="minorHAnsi"/>
          <w:szCs w:val="24"/>
        </w:rPr>
      </w:pPr>
      <w:bookmarkStart w:id="37" w:name="_Toc536448591"/>
      <w:r>
        <w:rPr>
          <w:rFonts w:asciiTheme="minorHAnsi" w:hAnsiTheme="minorHAnsi"/>
          <w:szCs w:val="24"/>
        </w:rPr>
        <w:t>C</w:t>
      </w:r>
      <w:r w:rsidR="00E44928" w:rsidRPr="00A929CE">
        <w:rPr>
          <w:rFonts w:asciiTheme="minorHAnsi" w:hAnsiTheme="minorHAnsi"/>
          <w:szCs w:val="24"/>
        </w:rPr>
        <w:t>oncertation/coordination du sous-secteur Assainissement</w:t>
      </w:r>
      <w:bookmarkEnd w:id="37"/>
    </w:p>
    <w:p w:rsidR="00E44928" w:rsidRPr="001754BB" w:rsidRDefault="00E44928" w:rsidP="00B8772C">
      <w:pPr>
        <w:pStyle w:val="Corpsdetexte"/>
        <w:spacing w:line="360" w:lineRule="auto"/>
        <w:rPr>
          <w:rFonts w:asciiTheme="minorHAnsi" w:hAnsiTheme="minorHAnsi"/>
          <w:szCs w:val="24"/>
          <w:lang w:eastAsia="de-DE"/>
        </w:rPr>
      </w:pPr>
      <w:r w:rsidRPr="00B8772C">
        <w:rPr>
          <w:rFonts w:asciiTheme="minorHAnsi" w:hAnsiTheme="minorHAnsi"/>
          <w:szCs w:val="24"/>
          <w:lang w:eastAsia="de-DE"/>
        </w:rPr>
        <w:t>Dans le secteur d</w:t>
      </w:r>
      <w:r w:rsidRPr="001754BB">
        <w:rPr>
          <w:rFonts w:asciiTheme="minorHAnsi" w:hAnsiTheme="minorHAnsi"/>
          <w:szCs w:val="24"/>
          <w:lang w:eastAsia="de-DE"/>
        </w:rPr>
        <w:t>e l’eau et de l’assainissement, il s’est instauré une concertation régulière entre les acteurs. On peut citer :</w:t>
      </w:r>
    </w:p>
    <w:p w:rsidR="00E44928" w:rsidRPr="00BC7FF5" w:rsidRDefault="00E44928" w:rsidP="00B8772C">
      <w:pPr>
        <w:pStyle w:val="Corpsdetexte"/>
        <w:numPr>
          <w:ilvl w:val="0"/>
          <w:numId w:val="60"/>
        </w:numPr>
        <w:spacing w:line="360" w:lineRule="auto"/>
        <w:rPr>
          <w:rFonts w:asciiTheme="minorHAnsi" w:hAnsiTheme="minorHAnsi" w:cstheme="minorHAnsi"/>
          <w:szCs w:val="24"/>
        </w:rPr>
      </w:pPr>
      <w:r w:rsidRPr="001754BB">
        <w:rPr>
          <w:rFonts w:asciiTheme="minorHAnsi" w:hAnsiTheme="minorHAnsi" w:cstheme="minorHAnsi"/>
          <w:szCs w:val="24"/>
        </w:rPr>
        <w:t>Le Comité de coordination du secteur eau et assainissement</w:t>
      </w:r>
      <w:r w:rsidR="002C34D3">
        <w:rPr>
          <w:rFonts w:asciiTheme="minorHAnsi" w:hAnsiTheme="minorHAnsi" w:cstheme="minorHAnsi"/>
          <w:szCs w:val="24"/>
        </w:rPr>
        <w:t xml:space="preserve"> </w:t>
      </w:r>
      <w:r w:rsidRPr="00BC7FF5">
        <w:rPr>
          <w:rFonts w:asciiTheme="minorHAnsi" w:hAnsiTheme="minorHAnsi" w:cstheme="minorHAnsi"/>
          <w:szCs w:val="24"/>
        </w:rPr>
        <w:t>présidé par le Ministre chargé de l’hydraulique secondé par le Ministre chargé du Plan ;</w:t>
      </w:r>
    </w:p>
    <w:p w:rsidR="00E44928" w:rsidRPr="00112EE9" w:rsidRDefault="00E44928" w:rsidP="001754BB">
      <w:pPr>
        <w:pStyle w:val="Corpsdetexte"/>
        <w:numPr>
          <w:ilvl w:val="0"/>
          <w:numId w:val="60"/>
        </w:numPr>
        <w:spacing w:line="360" w:lineRule="auto"/>
        <w:rPr>
          <w:rFonts w:asciiTheme="minorHAnsi" w:hAnsiTheme="minorHAnsi"/>
          <w:szCs w:val="24"/>
        </w:rPr>
      </w:pPr>
      <w:r w:rsidRPr="00112EE9">
        <w:rPr>
          <w:rFonts w:asciiTheme="minorHAnsi" w:hAnsiTheme="minorHAnsi"/>
          <w:szCs w:val="24"/>
        </w:rPr>
        <w:t>Le groupe thématique « eau et assainissement » qui regroupe périodiquement les partenaires techniques et financiers du secteur, leur permet d’échanger sur des points précis et de convenir sur le contenu des messages à partager soit avec les Ministères concernés, soit avec le Chef du Gouvernement dans le cadre du dialogue politique ;</w:t>
      </w:r>
    </w:p>
    <w:p w:rsidR="00E44928" w:rsidRPr="00A929CE" w:rsidRDefault="00E44928" w:rsidP="001754BB">
      <w:pPr>
        <w:pStyle w:val="BodyText"/>
        <w:numPr>
          <w:ilvl w:val="0"/>
          <w:numId w:val="60"/>
        </w:numPr>
        <w:spacing w:line="360" w:lineRule="auto"/>
        <w:rPr>
          <w:rFonts w:asciiTheme="minorHAnsi" w:hAnsiTheme="minorHAnsi"/>
          <w:sz w:val="24"/>
          <w:szCs w:val="24"/>
        </w:rPr>
      </w:pPr>
      <w:r w:rsidRPr="00112EE9">
        <w:rPr>
          <w:rFonts w:asciiTheme="minorHAnsi" w:hAnsiTheme="minorHAnsi"/>
          <w:sz w:val="24"/>
          <w:szCs w:val="24"/>
        </w:rPr>
        <w:t>La revue sectorielle des acteurs de l’eau et de l’assainissement qui est organisée chaque année sous l’égide de la Cellule de planification et de st</w:t>
      </w:r>
      <w:r w:rsidRPr="00D863B8">
        <w:rPr>
          <w:rFonts w:asciiTheme="minorHAnsi" w:hAnsiTheme="minorHAnsi"/>
          <w:sz w:val="24"/>
          <w:szCs w:val="24"/>
        </w:rPr>
        <w:t>atistique (CPS) du secteur Eau, Environnement, Urbanisme et Domaines de l’Etat (CPS_SEEUDE). Cette revue qui regroupe les représentants de l’Etat, ceux des PTF et des organisations de la société civile intervenant dans le secteur constitue un moment privil</w:t>
      </w:r>
      <w:r w:rsidRPr="00A929CE">
        <w:rPr>
          <w:rFonts w:asciiTheme="minorHAnsi" w:hAnsiTheme="minorHAnsi"/>
          <w:sz w:val="24"/>
          <w:szCs w:val="24"/>
        </w:rPr>
        <w:t>égié au cours duquel il est dressé un bilan des réalisations assorti de perspectives et de recommandations. Bien que les questions relatives à l’assainissement soient discutées au cours de ces assises, la faiblesse de l’analyse de la situation ne permet pas d’orienter les interventions en faveur de ce sous-secteur qui demeure le parent pauvre du couple eau et assainissement.</w:t>
      </w:r>
    </w:p>
    <w:p w:rsidR="00E44928" w:rsidRPr="00A929CE" w:rsidRDefault="00E44928" w:rsidP="001754BB">
      <w:pPr>
        <w:pStyle w:val="BodyText"/>
        <w:numPr>
          <w:ilvl w:val="0"/>
          <w:numId w:val="60"/>
        </w:numPr>
        <w:spacing w:line="360" w:lineRule="auto"/>
        <w:rPr>
          <w:rFonts w:asciiTheme="minorHAnsi" w:hAnsiTheme="minorHAnsi"/>
          <w:sz w:val="24"/>
          <w:szCs w:val="24"/>
        </w:rPr>
      </w:pPr>
      <w:r w:rsidRPr="00A929CE">
        <w:rPr>
          <w:rFonts w:asciiTheme="minorHAnsi" w:hAnsiTheme="minorHAnsi"/>
          <w:sz w:val="24"/>
          <w:szCs w:val="24"/>
        </w:rPr>
        <w:t>Au niveau régional, la coordination du volet assainissement est diluée dans la coordination générale des actions de développement que mènent les Comités régionaux d’orientation, de coordination et de suivi des actions de développement (CROCSAD). Leur mission est de promouvoir la synergie des actions de développement entre les différents intervenants dans les régions. Ces comités disposent de répondants aux échelles de cercles et de communes. Du fait de la vocation généraliste de ces comités, la concertation entre les intervenants dans le sous-secteur de l’assainissement manque de visibilité.</w:t>
      </w:r>
    </w:p>
    <w:p w:rsidR="00E44928" w:rsidRPr="00A929CE" w:rsidRDefault="00E44928" w:rsidP="00BC7FF5">
      <w:pPr>
        <w:pStyle w:val="BodyText"/>
        <w:spacing w:line="360" w:lineRule="auto"/>
        <w:rPr>
          <w:rFonts w:asciiTheme="minorHAnsi" w:hAnsiTheme="minorHAnsi"/>
          <w:sz w:val="24"/>
          <w:szCs w:val="24"/>
          <w:lang w:eastAsia="en-GB"/>
        </w:rPr>
      </w:pPr>
      <w:r w:rsidRPr="00A929CE">
        <w:rPr>
          <w:rFonts w:asciiTheme="minorHAnsi" w:hAnsiTheme="minorHAnsi"/>
          <w:sz w:val="24"/>
          <w:szCs w:val="24"/>
          <w:lang w:eastAsia="en-GB"/>
        </w:rPr>
        <w:t>D’autres cadres de concertation moins formels ont été mis en place sous l’impulsion des organisations de la société civile pour répondre au contexte d’urgence humanitaire dans lequel se trouve le Mali. Ces cadres symbolisés par les « clusters WASH » organisent la concertation opérationnelle tant au niveau national que régional.</w:t>
      </w:r>
    </w:p>
    <w:p w:rsidR="00E44928" w:rsidRPr="00A929CE" w:rsidRDefault="00E44928" w:rsidP="00112EE9">
      <w:pPr>
        <w:pStyle w:val="BodyText"/>
        <w:spacing w:line="360" w:lineRule="auto"/>
        <w:rPr>
          <w:rFonts w:asciiTheme="minorHAnsi" w:hAnsiTheme="minorHAnsi"/>
          <w:color w:val="000000"/>
          <w:sz w:val="24"/>
          <w:szCs w:val="24"/>
        </w:rPr>
      </w:pPr>
      <w:r w:rsidRPr="00A929CE">
        <w:rPr>
          <w:rFonts w:asciiTheme="minorHAnsi" w:hAnsiTheme="minorHAnsi"/>
          <w:sz w:val="24"/>
          <w:szCs w:val="24"/>
        </w:rPr>
        <w:t xml:space="preserve">En dépit de l’existence de ces différentes initiatives, le </w:t>
      </w:r>
      <w:r w:rsidRPr="00A929CE">
        <w:rPr>
          <w:rFonts w:asciiTheme="minorHAnsi" w:hAnsiTheme="minorHAnsi"/>
          <w:color w:val="000000"/>
          <w:sz w:val="24"/>
          <w:szCs w:val="24"/>
        </w:rPr>
        <w:t>niveau de concertation entre les acteurs en présence reste faible au point où il ne leur a pas permis de développer une collaboration opérationnelle susceptible de booster le sous-secteur.</w:t>
      </w:r>
      <w:r w:rsidR="002C34D3">
        <w:rPr>
          <w:rFonts w:asciiTheme="minorHAnsi" w:hAnsiTheme="minorHAnsi"/>
          <w:color w:val="000000"/>
          <w:sz w:val="24"/>
          <w:szCs w:val="24"/>
        </w:rPr>
        <w:t xml:space="preserve"> </w:t>
      </w:r>
      <w:r w:rsidRPr="00A929CE">
        <w:rPr>
          <w:rFonts w:asciiTheme="minorHAnsi" w:hAnsiTheme="minorHAnsi"/>
          <w:color w:val="000000"/>
          <w:sz w:val="24"/>
          <w:szCs w:val="24"/>
        </w:rPr>
        <w:t xml:space="preserve">Aussi les approches en matière d’assainissement sont demeurées largement sectorielles et verticales. </w:t>
      </w:r>
    </w:p>
    <w:p w:rsidR="00D10152" w:rsidRPr="00A929CE" w:rsidRDefault="00D10152" w:rsidP="00112EE9">
      <w:pPr>
        <w:pStyle w:val="BodyText"/>
        <w:spacing w:line="360" w:lineRule="auto"/>
        <w:rPr>
          <w:rFonts w:asciiTheme="minorHAnsi" w:hAnsiTheme="minorHAnsi" w:cstheme="minorHAnsi"/>
          <w:sz w:val="24"/>
          <w:szCs w:val="24"/>
        </w:rPr>
      </w:pPr>
    </w:p>
    <w:p w:rsidR="000C7207" w:rsidRPr="00A929CE" w:rsidRDefault="000C7207" w:rsidP="00A929CE">
      <w:pPr>
        <w:spacing w:line="360" w:lineRule="auto"/>
        <w:jc w:val="both"/>
        <w:rPr>
          <w:rFonts w:asciiTheme="minorHAnsi" w:hAnsiTheme="minorHAnsi" w:cstheme="minorHAnsi"/>
          <w:sz w:val="24"/>
          <w:szCs w:val="24"/>
        </w:rPr>
      </w:pPr>
    </w:p>
    <w:p w:rsidR="00401831" w:rsidRPr="00A929CE" w:rsidRDefault="00401831" w:rsidP="00A929CE">
      <w:pPr>
        <w:pStyle w:val="BodyText"/>
        <w:spacing w:line="360" w:lineRule="auto"/>
        <w:rPr>
          <w:rFonts w:asciiTheme="minorHAnsi" w:hAnsiTheme="minorHAnsi" w:cstheme="minorHAnsi"/>
          <w:sz w:val="24"/>
          <w:szCs w:val="24"/>
        </w:rPr>
        <w:sectPr w:rsidR="00401831" w:rsidRPr="00A929CE" w:rsidSect="003154FC">
          <w:pgSz w:w="11906" w:h="16838"/>
          <w:pgMar w:top="1417" w:right="1417" w:bottom="1417" w:left="1417" w:header="708" w:footer="708" w:gutter="0"/>
          <w:cols w:space="708"/>
          <w:docGrid w:linePitch="360"/>
        </w:sectPr>
      </w:pPr>
    </w:p>
    <w:p w:rsidR="00BA0AF1" w:rsidRPr="00A929CE" w:rsidRDefault="00BA0AF1" w:rsidP="00A929CE">
      <w:pPr>
        <w:pStyle w:val="Titre1"/>
        <w:spacing w:line="360" w:lineRule="auto"/>
        <w:rPr>
          <w:rFonts w:asciiTheme="minorHAnsi" w:hAnsiTheme="minorHAnsi"/>
          <w:sz w:val="24"/>
          <w:szCs w:val="24"/>
        </w:rPr>
      </w:pPr>
      <w:bookmarkStart w:id="38" w:name="_Toc515437457"/>
      <w:bookmarkStart w:id="39" w:name="_Toc515437473"/>
      <w:bookmarkStart w:id="40" w:name="_Toc515437481"/>
      <w:bookmarkStart w:id="41" w:name="_Toc185257982"/>
      <w:bookmarkStart w:id="42" w:name="_Toc536448592"/>
      <w:bookmarkEnd w:id="38"/>
      <w:bookmarkEnd w:id="39"/>
      <w:bookmarkEnd w:id="40"/>
      <w:r w:rsidRPr="00A929CE">
        <w:rPr>
          <w:rFonts w:asciiTheme="minorHAnsi" w:hAnsiTheme="minorHAnsi"/>
          <w:sz w:val="24"/>
          <w:szCs w:val="24"/>
        </w:rPr>
        <w:t xml:space="preserve">Evaluation de la mise </w:t>
      </w:r>
      <w:r w:rsidR="00F73DCB" w:rsidRPr="00A929CE">
        <w:rPr>
          <w:rFonts w:asciiTheme="minorHAnsi" w:hAnsiTheme="minorHAnsi"/>
          <w:sz w:val="24"/>
          <w:szCs w:val="24"/>
        </w:rPr>
        <w:t>en</w:t>
      </w:r>
      <w:r w:rsidRPr="00A929CE">
        <w:rPr>
          <w:rFonts w:asciiTheme="minorHAnsi" w:hAnsiTheme="minorHAnsi"/>
          <w:sz w:val="24"/>
          <w:szCs w:val="24"/>
        </w:rPr>
        <w:t xml:space="preserve"> œuvre de la PNA et des stratégies </w:t>
      </w:r>
      <w:r w:rsidR="00F73DCB" w:rsidRPr="00A929CE">
        <w:rPr>
          <w:rFonts w:asciiTheme="minorHAnsi" w:hAnsiTheme="minorHAnsi"/>
          <w:sz w:val="24"/>
          <w:szCs w:val="24"/>
        </w:rPr>
        <w:t>sous-sectorielles</w:t>
      </w:r>
      <w:bookmarkEnd w:id="42"/>
    </w:p>
    <w:p w:rsidR="00647D81" w:rsidRPr="00A929CE" w:rsidRDefault="00F73DCB" w:rsidP="00A929CE">
      <w:pPr>
        <w:pStyle w:val="Titre2"/>
        <w:spacing w:line="360" w:lineRule="auto"/>
        <w:rPr>
          <w:rFonts w:asciiTheme="minorHAnsi" w:hAnsiTheme="minorHAnsi"/>
          <w:szCs w:val="24"/>
        </w:rPr>
      </w:pPr>
      <w:bookmarkStart w:id="43" w:name="_Toc536448593"/>
      <w:r w:rsidRPr="00A929CE">
        <w:rPr>
          <w:rFonts w:asciiTheme="minorHAnsi" w:hAnsiTheme="minorHAnsi"/>
          <w:szCs w:val="24"/>
        </w:rPr>
        <w:t>Brève présentation de la PNA et des stratégies sous sectorielles</w:t>
      </w:r>
      <w:bookmarkEnd w:id="41"/>
      <w:bookmarkEnd w:id="43"/>
    </w:p>
    <w:p w:rsidR="00782CA9" w:rsidRPr="00BC7FF5" w:rsidRDefault="007D7C9C" w:rsidP="00B8772C">
      <w:pPr>
        <w:pStyle w:val="BodyText"/>
        <w:spacing w:line="360" w:lineRule="auto"/>
        <w:rPr>
          <w:rFonts w:asciiTheme="minorHAnsi" w:hAnsiTheme="minorHAnsi" w:cstheme="minorHAnsi"/>
          <w:sz w:val="24"/>
          <w:szCs w:val="24"/>
        </w:rPr>
      </w:pPr>
      <w:r w:rsidRPr="00B8772C">
        <w:rPr>
          <w:rFonts w:asciiTheme="minorHAnsi" w:hAnsiTheme="minorHAnsi" w:cstheme="minorHAnsi"/>
          <w:sz w:val="24"/>
          <w:szCs w:val="24"/>
        </w:rPr>
        <w:t xml:space="preserve">La PNA s’applique aux principaux champs de l’assainissement à savoir la gestion des déchets </w:t>
      </w:r>
      <w:r w:rsidRPr="001754BB">
        <w:rPr>
          <w:rFonts w:asciiTheme="minorHAnsi" w:hAnsiTheme="minorHAnsi" w:cstheme="minorHAnsi"/>
          <w:sz w:val="24"/>
          <w:szCs w:val="24"/>
        </w:rPr>
        <w:t>solides, la gestion des eaux usées et excréta, la gestion des déchets spéciaux et l’évacuation des eaux de ruissellement (eaux pluviales). Elle touche également l’éducation à l’hygiène. Ses objectifs sont les suivants</w:t>
      </w:r>
    </w:p>
    <w:p w:rsidR="00647D81" w:rsidRPr="00A929CE" w:rsidRDefault="00647D81" w:rsidP="00A929CE">
      <w:pPr>
        <w:pStyle w:val="Titre3"/>
        <w:spacing w:line="360" w:lineRule="auto"/>
        <w:rPr>
          <w:rFonts w:asciiTheme="minorHAnsi" w:hAnsiTheme="minorHAnsi"/>
          <w:sz w:val="24"/>
          <w:szCs w:val="24"/>
        </w:rPr>
      </w:pPr>
      <w:bookmarkStart w:id="44" w:name="_Toc515437483"/>
      <w:bookmarkStart w:id="45" w:name="_Toc536448594"/>
      <w:bookmarkEnd w:id="44"/>
      <w:r w:rsidRPr="00A929CE">
        <w:rPr>
          <w:rFonts w:asciiTheme="minorHAnsi" w:hAnsiTheme="minorHAnsi"/>
          <w:sz w:val="24"/>
          <w:szCs w:val="24"/>
        </w:rPr>
        <w:t>Objectifs de la PNA</w:t>
      </w:r>
      <w:bookmarkEnd w:id="45"/>
    </w:p>
    <w:p w:rsidR="00C97A07" w:rsidRPr="00A929CE" w:rsidRDefault="00C97A07" w:rsidP="00A929CE">
      <w:pPr>
        <w:pStyle w:val="Titre3"/>
        <w:spacing w:line="360" w:lineRule="auto"/>
        <w:rPr>
          <w:rFonts w:asciiTheme="minorHAnsi" w:hAnsiTheme="minorHAnsi"/>
          <w:sz w:val="24"/>
          <w:szCs w:val="24"/>
        </w:rPr>
      </w:pPr>
      <w:bookmarkStart w:id="46" w:name="_Toc536448595"/>
      <w:r w:rsidRPr="00A929CE">
        <w:rPr>
          <w:rFonts w:asciiTheme="minorHAnsi" w:hAnsiTheme="minorHAnsi"/>
          <w:sz w:val="24"/>
          <w:szCs w:val="24"/>
        </w:rPr>
        <w:t>Objectif global</w:t>
      </w:r>
      <w:bookmarkEnd w:id="46"/>
    </w:p>
    <w:p w:rsidR="00C97A07" w:rsidRPr="001754BB" w:rsidRDefault="00C97A07" w:rsidP="00B8772C">
      <w:pPr>
        <w:spacing w:line="360" w:lineRule="auto"/>
        <w:jc w:val="both"/>
        <w:rPr>
          <w:rFonts w:asciiTheme="minorHAnsi" w:hAnsiTheme="minorHAnsi" w:cstheme="minorHAnsi"/>
          <w:sz w:val="24"/>
          <w:szCs w:val="24"/>
        </w:rPr>
      </w:pPr>
      <w:r w:rsidRPr="00B8772C">
        <w:rPr>
          <w:rFonts w:asciiTheme="minorHAnsi" w:hAnsiTheme="minorHAnsi" w:cstheme="minorHAnsi"/>
          <w:sz w:val="24"/>
          <w:szCs w:val="24"/>
        </w:rPr>
        <w:t>Améliorer l’accès de la population du Mali au service public de l’assainissement géré de manière durable (sur le plan financier et sur le plan environnemental) au niveau local.</w:t>
      </w:r>
    </w:p>
    <w:p w:rsidR="00C97A07" w:rsidRPr="00A929CE" w:rsidRDefault="00C97A07" w:rsidP="00A929CE">
      <w:pPr>
        <w:pStyle w:val="Titre3"/>
        <w:spacing w:line="360" w:lineRule="auto"/>
        <w:rPr>
          <w:rFonts w:asciiTheme="minorHAnsi" w:hAnsiTheme="minorHAnsi"/>
          <w:sz w:val="24"/>
          <w:szCs w:val="24"/>
        </w:rPr>
      </w:pPr>
      <w:bookmarkStart w:id="47" w:name="_Toc536448596"/>
      <w:r w:rsidRPr="00A929CE">
        <w:rPr>
          <w:rFonts w:asciiTheme="minorHAnsi" w:hAnsiTheme="minorHAnsi"/>
          <w:sz w:val="24"/>
          <w:szCs w:val="24"/>
        </w:rPr>
        <w:t>Objectifs spécifiques</w:t>
      </w:r>
      <w:bookmarkEnd w:id="47"/>
    </w:p>
    <w:p w:rsidR="00C97A07" w:rsidRPr="00D863B8" w:rsidRDefault="00825BB2" w:rsidP="00B8772C">
      <w:pPr>
        <w:spacing w:line="360" w:lineRule="auto"/>
        <w:jc w:val="both"/>
        <w:rPr>
          <w:rFonts w:asciiTheme="minorHAnsi" w:hAnsiTheme="minorHAnsi" w:cstheme="minorHAnsi"/>
          <w:sz w:val="24"/>
          <w:szCs w:val="24"/>
        </w:rPr>
      </w:pPr>
      <w:r w:rsidRPr="00B8772C">
        <w:rPr>
          <w:rFonts w:asciiTheme="minorHAnsi" w:hAnsiTheme="minorHAnsi" w:cstheme="minorHAnsi"/>
          <w:sz w:val="24"/>
          <w:szCs w:val="24"/>
        </w:rPr>
        <w:t>La</w:t>
      </w:r>
      <w:r w:rsidR="00C97A07" w:rsidRPr="001754BB">
        <w:rPr>
          <w:rFonts w:asciiTheme="minorHAnsi" w:hAnsiTheme="minorHAnsi" w:cstheme="minorHAnsi"/>
          <w:sz w:val="24"/>
          <w:szCs w:val="24"/>
        </w:rPr>
        <w:t xml:space="preserve"> PNA </w:t>
      </w:r>
      <w:r w:rsidRPr="001754BB">
        <w:rPr>
          <w:rFonts w:asciiTheme="minorHAnsi" w:hAnsiTheme="minorHAnsi" w:cstheme="minorHAnsi"/>
          <w:sz w:val="24"/>
          <w:szCs w:val="24"/>
        </w:rPr>
        <w:t xml:space="preserve">avait pour but </w:t>
      </w:r>
      <w:r w:rsidR="00C97A07" w:rsidRPr="00BC7FF5">
        <w:rPr>
          <w:rFonts w:asciiTheme="minorHAnsi" w:hAnsiTheme="minorHAnsi" w:cstheme="minorHAnsi"/>
          <w:sz w:val="24"/>
          <w:szCs w:val="24"/>
        </w:rPr>
        <w:t xml:space="preserve">de structurer </w:t>
      </w:r>
      <w:r w:rsidRPr="00BC7FF5">
        <w:rPr>
          <w:rFonts w:asciiTheme="minorHAnsi" w:hAnsiTheme="minorHAnsi" w:cstheme="minorHAnsi"/>
          <w:sz w:val="24"/>
          <w:szCs w:val="24"/>
        </w:rPr>
        <w:t xml:space="preserve">les interventions de </w:t>
      </w:r>
      <w:r w:rsidR="00C97A07" w:rsidRPr="00BC7FF5">
        <w:rPr>
          <w:rFonts w:asciiTheme="minorHAnsi" w:hAnsiTheme="minorHAnsi" w:cstheme="minorHAnsi"/>
          <w:sz w:val="24"/>
          <w:szCs w:val="24"/>
        </w:rPr>
        <w:t>l’ensemble d</w:t>
      </w:r>
      <w:r w:rsidRPr="0022409F">
        <w:rPr>
          <w:rFonts w:asciiTheme="minorHAnsi" w:hAnsiTheme="minorHAnsi" w:cstheme="minorHAnsi"/>
          <w:sz w:val="24"/>
          <w:szCs w:val="24"/>
        </w:rPr>
        <w:t xml:space="preserve">es acteurs du sous-secteur </w:t>
      </w:r>
      <w:r w:rsidR="00C97A07" w:rsidRPr="00112EE9">
        <w:rPr>
          <w:rFonts w:asciiTheme="minorHAnsi" w:hAnsiTheme="minorHAnsi" w:cstheme="minorHAnsi"/>
          <w:sz w:val="24"/>
          <w:szCs w:val="24"/>
        </w:rPr>
        <w:t>de l’assainissement</w:t>
      </w:r>
      <w:r w:rsidRPr="00112EE9">
        <w:rPr>
          <w:rFonts w:asciiTheme="minorHAnsi" w:hAnsiTheme="minorHAnsi" w:cstheme="minorHAnsi"/>
          <w:sz w:val="24"/>
          <w:szCs w:val="24"/>
        </w:rPr>
        <w:t xml:space="preserve">. Elle </w:t>
      </w:r>
      <w:r w:rsidR="00C97A07" w:rsidRPr="00112EE9">
        <w:rPr>
          <w:rFonts w:asciiTheme="minorHAnsi" w:hAnsiTheme="minorHAnsi" w:cstheme="minorHAnsi"/>
          <w:sz w:val="24"/>
          <w:szCs w:val="24"/>
        </w:rPr>
        <w:t>se v</w:t>
      </w:r>
      <w:r w:rsidR="00550D23" w:rsidRPr="00D863B8">
        <w:rPr>
          <w:rFonts w:asciiTheme="minorHAnsi" w:hAnsiTheme="minorHAnsi" w:cstheme="minorHAnsi"/>
          <w:sz w:val="24"/>
          <w:szCs w:val="24"/>
        </w:rPr>
        <w:t xml:space="preserve">oulait </w:t>
      </w:r>
      <w:r w:rsidR="00C97A07" w:rsidRPr="00D863B8">
        <w:rPr>
          <w:rFonts w:asciiTheme="minorHAnsi" w:hAnsiTheme="minorHAnsi" w:cstheme="minorHAnsi"/>
          <w:sz w:val="24"/>
          <w:szCs w:val="24"/>
        </w:rPr>
        <w:t>un document de référence pour l’ensemble des acteurs concernés.</w:t>
      </w:r>
    </w:p>
    <w:p w:rsidR="00C97A07" w:rsidRPr="00A929CE" w:rsidRDefault="00825BB2" w:rsidP="00B8772C">
      <w:pPr>
        <w:spacing w:line="360" w:lineRule="auto"/>
        <w:jc w:val="both"/>
        <w:rPr>
          <w:rFonts w:asciiTheme="minorHAnsi" w:hAnsiTheme="minorHAnsi" w:cstheme="minorHAnsi"/>
          <w:sz w:val="24"/>
          <w:szCs w:val="24"/>
        </w:rPr>
      </w:pPr>
      <w:r w:rsidRPr="00A929CE">
        <w:rPr>
          <w:rFonts w:asciiTheme="minorHAnsi" w:hAnsiTheme="minorHAnsi" w:cstheme="minorHAnsi"/>
          <w:sz w:val="24"/>
          <w:szCs w:val="24"/>
        </w:rPr>
        <w:t xml:space="preserve">La PNA ambitionnait </w:t>
      </w:r>
      <w:r w:rsidR="00C97A07" w:rsidRPr="00A929CE">
        <w:rPr>
          <w:rFonts w:asciiTheme="minorHAnsi" w:hAnsiTheme="minorHAnsi" w:cstheme="minorHAnsi"/>
          <w:sz w:val="24"/>
          <w:szCs w:val="24"/>
        </w:rPr>
        <w:t>spécifiquement</w:t>
      </w:r>
      <w:r w:rsidRPr="00A929CE">
        <w:rPr>
          <w:rFonts w:asciiTheme="minorHAnsi" w:hAnsiTheme="minorHAnsi" w:cstheme="minorHAnsi"/>
          <w:sz w:val="24"/>
          <w:szCs w:val="24"/>
        </w:rPr>
        <w:t xml:space="preserve"> de : </w:t>
      </w:r>
    </w:p>
    <w:p w:rsidR="00C97A07" w:rsidRPr="00A929CE" w:rsidRDefault="00C97A07" w:rsidP="001754BB">
      <w:pPr>
        <w:pStyle w:val="Paragraphedeliste"/>
        <w:numPr>
          <w:ilvl w:val="0"/>
          <w:numId w:val="21"/>
        </w:numPr>
        <w:spacing w:after="160" w:line="360" w:lineRule="auto"/>
        <w:jc w:val="both"/>
        <w:rPr>
          <w:rFonts w:asciiTheme="minorHAnsi" w:hAnsiTheme="minorHAnsi" w:cstheme="minorHAnsi"/>
          <w:sz w:val="24"/>
          <w:szCs w:val="24"/>
        </w:rPr>
      </w:pPr>
      <w:r w:rsidRPr="00A929CE">
        <w:rPr>
          <w:rFonts w:asciiTheme="minorHAnsi" w:hAnsiTheme="minorHAnsi" w:cstheme="minorHAnsi"/>
          <w:sz w:val="24"/>
          <w:szCs w:val="24"/>
        </w:rPr>
        <w:t>Harmoniser les approches et interventions des différents acteurs intervenant dans la gestion des déchets liquides, solides, spéciaux et des eaux pluviales</w:t>
      </w:r>
      <w:r w:rsidR="00011506">
        <w:rPr>
          <w:rFonts w:asciiTheme="minorHAnsi" w:hAnsiTheme="minorHAnsi" w:cstheme="minorHAnsi"/>
          <w:sz w:val="24"/>
          <w:szCs w:val="24"/>
        </w:rPr>
        <w:t> ;</w:t>
      </w:r>
    </w:p>
    <w:p w:rsidR="00C97A07" w:rsidRPr="00A929CE" w:rsidRDefault="00C97A07" w:rsidP="001754BB">
      <w:pPr>
        <w:pStyle w:val="Paragraphedeliste"/>
        <w:numPr>
          <w:ilvl w:val="0"/>
          <w:numId w:val="21"/>
        </w:numPr>
        <w:spacing w:after="160" w:line="360" w:lineRule="auto"/>
        <w:jc w:val="both"/>
        <w:rPr>
          <w:rFonts w:asciiTheme="minorHAnsi" w:hAnsiTheme="minorHAnsi" w:cstheme="minorHAnsi"/>
          <w:sz w:val="24"/>
          <w:szCs w:val="24"/>
        </w:rPr>
      </w:pPr>
      <w:r w:rsidRPr="00A929CE">
        <w:rPr>
          <w:rFonts w:asciiTheme="minorHAnsi" w:hAnsiTheme="minorHAnsi" w:cstheme="minorHAnsi"/>
          <w:sz w:val="24"/>
          <w:szCs w:val="24"/>
        </w:rPr>
        <w:t>Fédérer les énergies publiques et privées</w:t>
      </w:r>
      <w:r w:rsidR="00011506">
        <w:rPr>
          <w:rFonts w:asciiTheme="minorHAnsi" w:hAnsiTheme="minorHAnsi" w:cstheme="minorHAnsi"/>
          <w:sz w:val="24"/>
          <w:szCs w:val="24"/>
        </w:rPr>
        <w:t> ;</w:t>
      </w:r>
    </w:p>
    <w:p w:rsidR="00C97A07" w:rsidRPr="00A929CE" w:rsidRDefault="00825BB2" w:rsidP="00BC7FF5">
      <w:pPr>
        <w:pStyle w:val="Paragraphedeliste"/>
        <w:numPr>
          <w:ilvl w:val="0"/>
          <w:numId w:val="21"/>
        </w:numPr>
        <w:spacing w:after="160" w:line="360" w:lineRule="auto"/>
        <w:jc w:val="both"/>
        <w:rPr>
          <w:rFonts w:asciiTheme="minorHAnsi" w:hAnsiTheme="minorHAnsi" w:cstheme="minorHAnsi"/>
          <w:sz w:val="24"/>
          <w:szCs w:val="24"/>
        </w:rPr>
      </w:pPr>
      <w:r w:rsidRPr="00A929CE">
        <w:rPr>
          <w:rFonts w:asciiTheme="minorHAnsi" w:hAnsiTheme="minorHAnsi" w:cstheme="minorHAnsi"/>
          <w:sz w:val="24"/>
          <w:szCs w:val="24"/>
        </w:rPr>
        <w:t xml:space="preserve">Et </w:t>
      </w:r>
      <w:r w:rsidR="00C97A07" w:rsidRPr="00A929CE">
        <w:rPr>
          <w:rFonts w:asciiTheme="minorHAnsi" w:hAnsiTheme="minorHAnsi" w:cstheme="minorHAnsi"/>
          <w:sz w:val="24"/>
          <w:szCs w:val="24"/>
        </w:rPr>
        <w:t>Augmenter les financements disponibles pour le secteur</w:t>
      </w:r>
      <w:r w:rsidR="00011506">
        <w:rPr>
          <w:rFonts w:asciiTheme="minorHAnsi" w:hAnsiTheme="minorHAnsi" w:cstheme="minorHAnsi"/>
          <w:sz w:val="24"/>
          <w:szCs w:val="24"/>
        </w:rPr>
        <w:t>.</w:t>
      </w:r>
    </w:p>
    <w:p w:rsidR="00825BB2" w:rsidRPr="00A929CE" w:rsidRDefault="00825BB2" w:rsidP="00112EE9">
      <w:pPr>
        <w:spacing w:line="360" w:lineRule="auto"/>
        <w:jc w:val="both"/>
        <w:rPr>
          <w:rFonts w:asciiTheme="minorHAnsi" w:hAnsiTheme="minorHAnsi" w:cstheme="minorHAnsi"/>
          <w:sz w:val="24"/>
          <w:szCs w:val="24"/>
        </w:rPr>
      </w:pPr>
      <w:r w:rsidRPr="00A929CE">
        <w:rPr>
          <w:rFonts w:asciiTheme="minorHAnsi" w:hAnsiTheme="minorHAnsi" w:cstheme="minorHAnsi"/>
          <w:sz w:val="24"/>
          <w:szCs w:val="24"/>
        </w:rPr>
        <w:t xml:space="preserve">En contribuant à l’atteinte des OMD par sa mise en œuvre, la PNA devait : </w:t>
      </w:r>
    </w:p>
    <w:p w:rsidR="00C97A07" w:rsidRPr="00A929CE" w:rsidRDefault="00C97A07" w:rsidP="00112EE9">
      <w:pPr>
        <w:pStyle w:val="Paragraphedeliste"/>
        <w:numPr>
          <w:ilvl w:val="0"/>
          <w:numId w:val="22"/>
        </w:numPr>
        <w:spacing w:after="160" w:line="360" w:lineRule="auto"/>
        <w:jc w:val="both"/>
        <w:rPr>
          <w:rFonts w:asciiTheme="minorHAnsi" w:hAnsiTheme="minorHAnsi" w:cstheme="minorHAnsi"/>
          <w:sz w:val="24"/>
          <w:szCs w:val="24"/>
        </w:rPr>
      </w:pPr>
      <w:r w:rsidRPr="00A929CE">
        <w:rPr>
          <w:rFonts w:asciiTheme="minorHAnsi" w:hAnsiTheme="minorHAnsi" w:cstheme="minorHAnsi"/>
          <w:sz w:val="24"/>
          <w:szCs w:val="24"/>
        </w:rPr>
        <w:t>Lutter contre la pauvreté (objectif 1), notamment en milieu rural (objectif atteint à la fois par l’augmentation du temps disponible et par la création d’emplois de proximité)</w:t>
      </w:r>
      <w:r w:rsidR="00F3552F" w:rsidRPr="00A929CE">
        <w:rPr>
          <w:rFonts w:asciiTheme="minorHAnsi" w:hAnsiTheme="minorHAnsi" w:cstheme="minorHAnsi"/>
          <w:sz w:val="24"/>
          <w:szCs w:val="24"/>
        </w:rPr>
        <w:t> ;</w:t>
      </w:r>
    </w:p>
    <w:p w:rsidR="00C97A07" w:rsidRPr="00A929CE" w:rsidRDefault="00C97A07" w:rsidP="00A929CE">
      <w:pPr>
        <w:pStyle w:val="Paragraphedeliste"/>
        <w:numPr>
          <w:ilvl w:val="0"/>
          <w:numId w:val="22"/>
        </w:numPr>
        <w:spacing w:after="160" w:line="360" w:lineRule="auto"/>
        <w:jc w:val="both"/>
        <w:rPr>
          <w:rFonts w:asciiTheme="minorHAnsi" w:hAnsiTheme="minorHAnsi" w:cstheme="minorHAnsi"/>
          <w:sz w:val="24"/>
          <w:szCs w:val="24"/>
        </w:rPr>
      </w:pPr>
      <w:r w:rsidRPr="00A929CE">
        <w:rPr>
          <w:rFonts w:asciiTheme="minorHAnsi" w:hAnsiTheme="minorHAnsi" w:cstheme="minorHAnsi"/>
          <w:sz w:val="24"/>
          <w:szCs w:val="24"/>
        </w:rPr>
        <w:t>Promouvoir l’égalité des sexes (objectif 3), notamment en favorisant l’accès des jeunes filles à un assainissement adéquat dans leur environnement familial et scolaire ;</w:t>
      </w:r>
    </w:p>
    <w:p w:rsidR="00C97A07" w:rsidRPr="00A929CE" w:rsidRDefault="00C97A07" w:rsidP="00A929CE">
      <w:pPr>
        <w:pStyle w:val="Paragraphedeliste"/>
        <w:numPr>
          <w:ilvl w:val="0"/>
          <w:numId w:val="22"/>
        </w:numPr>
        <w:spacing w:after="160" w:line="360" w:lineRule="auto"/>
        <w:jc w:val="both"/>
        <w:rPr>
          <w:rFonts w:asciiTheme="minorHAnsi" w:hAnsiTheme="minorHAnsi" w:cstheme="minorHAnsi"/>
          <w:sz w:val="24"/>
          <w:szCs w:val="24"/>
        </w:rPr>
      </w:pPr>
      <w:r w:rsidRPr="00A929CE">
        <w:rPr>
          <w:rFonts w:asciiTheme="minorHAnsi" w:hAnsiTheme="minorHAnsi" w:cstheme="minorHAnsi"/>
          <w:sz w:val="24"/>
          <w:szCs w:val="24"/>
        </w:rPr>
        <w:t>Réduire la mortalité infantile (objectif 4), et combattre le paludisme et les maladies liées à l’insalubrité (objectif 6), notamment par la réduction du risque sanitaire lié à une mauvaise gestion des effluents, des eaux pluviales et des déchets solides</w:t>
      </w:r>
      <w:r w:rsidR="00011506">
        <w:rPr>
          <w:rFonts w:asciiTheme="minorHAnsi" w:hAnsiTheme="minorHAnsi" w:cstheme="minorHAnsi"/>
          <w:sz w:val="24"/>
          <w:szCs w:val="24"/>
        </w:rPr>
        <w:t>.</w:t>
      </w:r>
    </w:p>
    <w:p w:rsidR="00035AAC" w:rsidRPr="00A929CE" w:rsidRDefault="00035AAC" w:rsidP="00A929CE">
      <w:pPr>
        <w:pStyle w:val="BodyText"/>
        <w:spacing w:line="360" w:lineRule="auto"/>
        <w:rPr>
          <w:rFonts w:asciiTheme="minorHAnsi" w:hAnsiTheme="minorHAnsi" w:cstheme="minorHAnsi"/>
          <w:sz w:val="24"/>
          <w:szCs w:val="24"/>
        </w:rPr>
      </w:pPr>
    </w:p>
    <w:p w:rsidR="00647D81" w:rsidRPr="00A929CE" w:rsidRDefault="00647D81" w:rsidP="00A929CE">
      <w:pPr>
        <w:pStyle w:val="Titre3"/>
        <w:spacing w:line="360" w:lineRule="auto"/>
        <w:rPr>
          <w:rFonts w:asciiTheme="minorHAnsi" w:hAnsiTheme="minorHAnsi"/>
          <w:sz w:val="24"/>
          <w:szCs w:val="24"/>
        </w:rPr>
      </w:pPr>
      <w:bookmarkStart w:id="48" w:name="_Toc536448597"/>
      <w:r w:rsidRPr="00A929CE">
        <w:rPr>
          <w:rFonts w:asciiTheme="minorHAnsi" w:hAnsiTheme="minorHAnsi"/>
          <w:sz w:val="24"/>
          <w:szCs w:val="24"/>
        </w:rPr>
        <w:t xml:space="preserve">Principes </w:t>
      </w:r>
      <w:r w:rsidR="00782CA9" w:rsidRPr="00A929CE">
        <w:rPr>
          <w:rFonts w:asciiTheme="minorHAnsi" w:hAnsiTheme="minorHAnsi"/>
          <w:sz w:val="24"/>
          <w:szCs w:val="24"/>
        </w:rPr>
        <w:t xml:space="preserve">importants </w:t>
      </w:r>
      <w:r w:rsidR="00035AAC" w:rsidRPr="00A929CE">
        <w:rPr>
          <w:rFonts w:asciiTheme="minorHAnsi" w:hAnsiTheme="minorHAnsi"/>
          <w:sz w:val="24"/>
          <w:szCs w:val="24"/>
        </w:rPr>
        <w:t>d’intervention</w:t>
      </w:r>
      <w:bookmarkEnd w:id="48"/>
    </w:p>
    <w:p w:rsidR="00825BB2" w:rsidRPr="00112EE9" w:rsidRDefault="00825BB2" w:rsidP="00B8772C">
      <w:pPr>
        <w:pStyle w:val="BodyText"/>
        <w:spacing w:line="360" w:lineRule="auto"/>
        <w:rPr>
          <w:rFonts w:asciiTheme="minorHAnsi" w:hAnsiTheme="minorHAnsi" w:cstheme="minorHAnsi"/>
          <w:sz w:val="24"/>
          <w:szCs w:val="24"/>
        </w:rPr>
      </w:pPr>
      <w:r w:rsidRPr="00B8772C">
        <w:rPr>
          <w:rFonts w:asciiTheme="minorHAnsi" w:hAnsiTheme="minorHAnsi" w:cstheme="minorHAnsi"/>
          <w:sz w:val="24"/>
          <w:szCs w:val="24"/>
        </w:rPr>
        <w:t>L</w:t>
      </w:r>
      <w:r w:rsidR="00F3552F" w:rsidRPr="001754BB">
        <w:rPr>
          <w:rFonts w:asciiTheme="minorHAnsi" w:hAnsiTheme="minorHAnsi" w:cstheme="minorHAnsi"/>
          <w:sz w:val="24"/>
          <w:szCs w:val="24"/>
        </w:rPr>
        <w:t xml:space="preserve">a PNA énumère une panoplie de principes </w:t>
      </w:r>
      <w:r w:rsidRPr="00BC7FF5">
        <w:rPr>
          <w:rFonts w:asciiTheme="minorHAnsi" w:hAnsiTheme="minorHAnsi" w:cstheme="minorHAnsi"/>
          <w:sz w:val="24"/>
          <w:szCs w:val="24"/>
        </w:rPr>
        <w:t xml:space="preserve">devant sous tendre </w:t>
      </w:r>
      <w:r w:rsidR="00F3552F" w:rsidRPr="00BC7FF5">
        <w:rPr>
          <w:rFonts w:asciiTheme="minorHAnsi" w:hAnsiTheme="minorHAnsi" w:cstheme="minorHAnsi"/>
          <w:sz w:val="24"/>
          <w:szCs w:val="24"/>
        </w:rPr>
        <w:t xml:space="preserve">sa </w:t>
      </w:r>
      <w:r w:rsidRPr="00BC7FF5">
        <w:rPr>
          <w:rFonts w:asciiTheme="minorHAnsi" w:hAnsiTheme="minorHAnsi" w:cstheme="minorHAnsi"/>
          <w:sz w:val="24"/>
          <w:szCs w:val="24"/>
        </w:rPr>
        <w:t xml:space="preserve">mise en œuvre </w:t>
      </w:r>
      <w:r w:rsidR="00F3552F" w:rsidRPr="0022409F">
        <w:rPr>
          <w:rFonts w:asciiTheme="minorHAnsi" w:hAnsiTheme="minorHAnsi" w:cstheme="minorHAnsi"/>
          <w:sz w:val="24"/>
          <w:szCs w:val="24"/>
        </w:rPr>
        <w:t>et par ricochet, celle des cinq stratégies sous-sectorielles.</w:t>
      </w:r>
      <w:r w:rsidR="007B6926">
        <w:rPr>
          <w:rFonts w:asciiTheme="minorHAnsi" w:hAnsiTheme="minorHAnsi" w:cstheme="minorHAnsi"/>
          <w:sz w:val="24"/>
          <w:szCs w:val="24"/>
        </w:rPr>
        <w:t xml:space="preserve"> Parmi ces principes on peut citer :</w:t>
      </w:r>
    </w:p>
    <w:p w:rsidR="00035AAC" w:rsidRPr="00A929CE" w:rsidRDefault="00035AAC" w:rsidP="00B8772C">
      <w:pPr>
        <w:numPr>
          <w:ilvl w:val="0"/>
          <w:numId w:val="13"/>
        </w:numPr>
        <w:spacing w:after="160" w:line="360" w:lineRule="auto"/>
        <w:jc w:val="both"/>
        <w:rPr>
          <w:rFonts w:asciiTheme="minorHAnsi" w:hAnsiTheme="minorHAnsi" w:cstheme="minorHAnsi"/>
          <w:sz w:val="24"/>
          <w:szCs w:val="24"/>
        </w:rPr>
      </w:pPr>
      <w:r w:rsidRPr="00A929CE">
        <w:rPr>
          <w:rFonts w:asciiTheme="minorHAnsi" w:hAnsiTheme="minorHAnsi" w:cstheme="minorHAnsi"/>
          <w:b/>
          <w:bCs/>
          <w:sz w:val="24"/>
          <w:szCs w:val="24"/>
        </w:rPr>
        <w:t>Principe « pollueur-payeur » :</w:t>
      </w:r>
      <w:r w:rsidRPr="00A929CE">
        <w:rPr>
          <w:rFonts w:asciiTheme="minorHAnsi" w:hAnsiTheme="minorHAnsi" w:cstheme="minorHAnsi"/>
          <w:sz w:val="24"/>
          <w:szCs w:val="24"/>
        </w:rPr>
        <w:t xml:space="preserve"> Les frais résultant des mesures de précaution, de réduction de la pollution et de la lutte contre celle -ci doivent être supportés par le pollueur</w:t>
      </w:r>
      <w:r w:rsidR="007B6926">
        <w:rPr>
          <w:rFonts w:asciiTheme="minorHAnsi" w:hAnsiTheme="minorHAnsi" w:cstheme="minorHAnsi"/>
          <w:sz w:val="24"/>
          <w:szCs w:val="24"/>
        </w:rPr>
        <w:t> ;</w:t>
      </w:r>
    </w:p>
    <w:p w:rsidR="00035AAC" w:rsidRPr="00A929CE" w:rsidRDefault="00035AAC" w:rsidP="001754BB">
      <w:pPr>
        <w:numPr>
          <w:ilvl w:val="0"/>
          <w:numId w:val="13"/>
        </w:numPr>
        <w:spacing w:after="160" w:line="360" w:lineRule="auto"/>
        <w:jc w:val="both"/>
        <w:rPr>
          <w:rFonts w:asciiTheme="minorHAnsi" w:hAnsiTheme="minorHAnsi" w:cstheme="minorHAnsi"/>
          <w:sz w:val="24"/>
          <w:szCs w:val="24"/>
        </w:rPr>
      </w:pPr>
      <w:r w:rsidRPr="00A929CE">
        <w:rPr>
          <w:rFonts w:asciiTheme="minorHAnsi" w:hAnsiTheme="minorHAnsi" w:cstheme="minorHAnsi"/>
          <w:b/>
          <w:bCs/>
          <w:sz w:val="24"/>
          <w:szCs w:val="24"/>
        </w:rPr>
        <w:t xml:space="preserve">Equité et égalité : </w:t>
      </w:r>
      <w:r w:rsidRPr="00A929CE">
        <w:rPr>
          <w:rFonts w:asciiTheme="minorHAnsi" w:hAnsiTheme="minorHAnsi" w:cstheme="minorHAnsi"/>
          <w:sz w:val="24"/>
          <w:szCs w:val="24"/>
        </w:rPr>
        <w:t xml:space="preserve">Il convient de tenir compte des besoins spécifiques des groupes vulnérables (femmes enfants, populations pauvres ou marginalisées, personnes en situation de handicap) dans l’élaboration et la mise en œuvre des projets </w:t>
      </w:r>
      <w:r w:rsidR="004D2C72" w:rsidRPr="00A929CE">
        <w:rPr>
          <w:rFonts w:asciiTheme="minorHAnsi" w:hAnsiTheme="minorHAnsi" w:cstheme="minorHAnsi"/>
          <w:sz w:val="24"/>
          <w:szCs w:val="24"/>
        </w:rPr>
        <w:t>et</w:t>
      </w:r>
      <w:r w:rsidRPr="00A929CE">
        <w:rPr>
          <w:rFonts w:asciiTheme="minorHAnsi" w:hAnsiTheme="minorHAnsi" w:cstheme="minorHAnsi"/>
          <w:sz w:val="24"/>
          <w:szCs w:val="24"/>
        </w:rPr>
        <w:t xml:space="preserve"> programmes d’assainissement</w:t>
      </w:r>
      <w:r w:rsidR="007B6926">
        <w:rPr>
          <w:rFonts w:asciiTheme="minorHAnsi" w:hAnsiTheme="minorHAnsi" w:cstheme="minorHAnsi"/>
          <w:sz w:val="24"/>
          <w:szCs w:val="24"/>
        </w:rPr>
        <w:t> ;</w:t>
      </w:r>
    </w:p>
    <w:p w:rsidR="001D1286" w:rsidRPr="00A929CE" w:rsidRDefault="001D1286" w:rsidP="001754BB">
      <w:pPr>
        <w:pStyle w:val="BodyText"/>
        <w:numPr>
          <w:ilvl w:val="0"/>
          <w:numId w:val="13"/>
        </w:numPr>
        <w:spacing w:line="360" w:lineRule="auto"/>
        <w:rPr>
          <w:rFonts w:asciiTheme="minorHAnsi" w:hAnsiTheme="minorHAnsi" w:cstheme="minorHAnsi"/>
          <w:b/>
          <w:i/>
          <w:sz w:val="24"/>
          <w:szCs w:val="24"/>
        </w:rPr>
      </w:pPr>
      <w:r w:rsidRPr="00A929CE">
        <w:rPr>
          <w:rFonts w:asciiTheme="minorHAnsi" w:hAnsiTheme="minorHAnsi" w:cstheme="minorHAnsi"/>
          <w:b/>
          <w:sz w:val="24"/>
          <w:szCs w:val="24"/>
        </w:rPr>
        <w:t>Implication</w:t>
      </w:r>
      <w:r w:rsidRPr="00A929CE">
        <w:rPr>
          <w:rFonts w:asciiTheme="minorHAnsi" w:hAnsiTheme="minorHAnsi" w:cstheme="minorHAnsi"/>
          <w:b/>
          <w:i/>
          <w:sz w:val="24"/>
          <w:szCs w:val="24"/>
        </w:rPr>
        <w:t xml:space="preserve"> et </w:t>
      </w:r>
      <w:r w:rsidRPr="00A929CE">
        <w:rPr>
          <w:rFonts w:asciiTheme="minorHAnsi" w:hAnsiTheme="minorHAnsi" w:cstheme="minorHAnsi"/>
          <w:b/>
          <w:sz w:val="24"/>
          <w:szCs w:val="24"/>
        </w:rPr>
        <w:t>participation</w:t>
      </w:r>
    </w:p>
    <w:p w:rsidR="001D1286" w:rsidRPr="00A929CE" w:rsidRDefault="001D1286" w:rsidP="00BC7FF5">
      <w:pPr>
        <w:spacing w:after="160" w:line="360" w:lineRule="auto"/>
        <w:ind w:left="720"/>
        <w:jc w:val="both"/>
        <w:rPr>
          <w:rFonts w:asciiTheme="minorHAnsi" w:hAnsiTheme="minorHAnsi" w:cstheme="minorHAnsi"/>
          <w:sz w:val="24"/>
          <w:szCs w:val="24"/>
        </w:rPr>
      </w:pPr>
      <w:r w:rsidRPr="00A929CE">
        <w:rPr>
          <w:rFonts w:asciiTheme="minorHAnsi" w:hAnsiTheme="minorHAnsi" w:cstheme="minorHAnsi"/>
          <w:sz w:val="24"/>
          <w:szCs w:val="24"/>
        </w:rPr>
        <w:t>Tous les acteurs sont impliqués et participent dans les actions de protection, de restauration et de conservation des ressources naturelles et de l’environnement. Les collectivités locales et les acteurs de la société civile sont particulièrement responsabilisés</w:t>
      </w:r>
      <w:r w:rsidR="007B6926">
        <w:rPr>
          <w:rFonts w:asciiTheme="minorHAnsi" w:hAnsiTheme="minorHAnsi" w:cstheme="minorHAnsi"/>
          <w:sz w:val="24"/>
          <w:szCs w:val="24"/>
        </w:rPr>
        <w:t> ;</w:t>
      </w:r>
    </w:p>
    <w:p w:rsidR="007A36B0" w:rsidRPr="00A929CE" w:rsidRDefault="007A36B0" w:rsidP="00112EE9">
      <w:pPr>
        <w:pStyle w:val="BodyText"/>
        <w:numPr>
          <w:ilvl w:val="0"/>
          <w:numId w:val="42"/>
        </w:numPr>
        <w:spacing w:line="360" w:lineRule="auto"/>
        <w:rPr>
          <w:rFonts w:asciiTheme="minorHAnsi" w:hAnsiTheme="minorHAnsi" w:cstheme="minorHAnsi"/>
          <w:b/>
          <w:sz w:val="24"/>
          <w:szCs w:val="24"/>
        </w:rPr>
      </w:pPr>
      <w:r w:rsidRPr="00A929CE">
        <w:rPr>
          <w:rFonts w:asciiTheme="minorHAnsi" w:hAnsiTheme="minorHAnsi" w:cstheme="minorHAnsi"/>
          <w:b/>
          <w:sz w:val="24"/>
          <w:szCs w:val="24"/>
        </w:rPr>
        <w:t>Rendre les collectivités territoriales décisionnaires</w:t>
      </w:r>
    </w:p>
    <w:p w:rsidR="00137E10" w:rsidRDefault="007A36B0" w:rsidP="00D54C69">
      <w:pPr>
        <w:pStyle w:val="BodyText"/>
        <w:spacing w:line="360" w:lineRule="auto"/>
        <w:ind w:left="708"/>
        <w:rPr>
          <w:rFonts w:asciiTheme="minorHAnsi" w:hAnsiTheme="minorHAnsi" w:cstheme="minorHAnsi"/>
          <w:sz w:val="24"/>
          <w:szCs w:val="24"/>
        </w:rPr>
      </w:pPr>
      <w:r w:rsidRPr="00A929CE">
        <w:rPr>
          <w:rFonts w:asciiTheme="minorHAnsi" w:hAnsiTheme="minorHAnsi" w:cstheme="minorHAnsi"/>
          <w:sz w:val="24"/>
          <w:szCs w:val="24"/>
        </w:rPr>
        <w:t>L’Etat a transféré ses compétences en matière d’assainissement aux collectivités locales. A ce titre, elles doivent être pleinement décisionnaires en ce qui concerne : le développement du service, les investissements à réaliser et le choix du mode d’exploitation des ouvrages</w:t>
      </w:r>
      <w:r w:rsidR="007B6926">
        <w:rPr>
          <w:rFonts w:asciiTheme="minorHAnsi" w:hAnsiTheme="minorHAnsi" w:cstheme="minorHAnsi"/>
          <w:sz w:val="24"/>
          <w:szCs w:val="24"/>
        </w:rPr>
        <w:t> ;</w:t>
      </w:r>
    </w:p>
    <w:p w:rsidR="007A36B0" w:rsidRPr="00A929CE" w:rsidRDefault="007A36B0" w:rsidP="00A929CE">
      <w:pPr>
        <w:pStyle w:val="BodyText"/>
        <w:numPr>
          <w:ilvl w:val="0"/>
          <w:numId w:val="42"/>
        </w:numPr>
        <w:spacing w:line="360" w:lineRule="auto"/>
        <w:rPr>
          <w:rFonts w:asciiTheme="minorHAnsi" w:hAnsiTheme="minorHAnsi" w:cstheme="minorHAnsi"/>
          <w:b/>
          <w:sz w:val="24"/>
          <w:szCs w:val="24"/>
        </w:rPr>
      </w:pPr>
      <w:r w:rsidRPr="00A929CE">
        <w:rPr>
          <w:rFonts w:asciiTheme="minorHAnsi" w:hAnsiTheme="minorHAnsi" w:cstheme="minorHAnsi"/>
          <w:b/>
          <w:sz w:val="24"/>
          <w:szCs w:val="24"/>
        </w:rPr>
        <w:t>Approche par la demande</w:t>
      </w:r>
    </w:p>
    <w:p w:rsidR="00137E10" w:rsidRDefault="007A36B0" w:rsidP="00D54C69">
      <w:pPr>
        <w:pStyle w:val="BodyText"/>
        <w:spacing w:line="360" w:lineRule="auto"/>
        <w:ind w:left="708"/>
        <w:rPr>
          <w:rFonts w:asciiTheme="minorHAnsi" w:hAnsiTheme="minorHAnsi" w:cstheme="minorHAnsi"/>
          <w:sz w:val="24"/>
          <w:szCs w:val="24"/>
        </w:rPr>
      </w:pPr>
      <w:r w:rsidRPr="00A929CE">
        <w:rPr>
          <w:rFonts w:asciiTheme="minorHAnsi" w:hAnsiTheme="minorHAnsi" w:cstheme="minorHAnsi"/>
          <w:sz w:val="24"/>
          <w:szCs w:val="24"/>
        </w:rPr>
        <w:t>C’est la demande des usagers (ménages, artisans, industriels etc.) qui doit déterminer l’offre de services et non l’inverse4. Cela suppose de comprendre comment les usagers ont actuellement accès aux services d’assainissement, et de les informer soigneusement sur les choix qui s’offrent à eux en fonction de leur volonté à payer et du niveau de service qu’ils souhaitent obtenir. Le non-respect du principe de la demande informée est de nature à mettre en péril la durabilité des ouvrages réalisés, voire leur utilisation</w:t>
      </w:r>
      <w:r w:rsidR="007B6926">
        <w:rPr>
          <w:rFonts w:asciiTheme="minorHAnsi" w:hAnsiTheme="minorHAnsi" w:cstheme="minorHAnsi"/>
          <w:sz w:val="24"/>
          <w:szCs w:val="24"/>
        </w:rPr>
        <w:t> ;</w:t>
      </w:r>
    </w:p>
    <w:p w:rsidR="002C34D3" w:rsidRDefault="002C34D3" w:rsidP="00D54C69">
      <w:pPr>
        <w:pStyle w:val="BodyText"/>
        <w:spacing w:line="360" w:lineRule="auto"/>
        <w:ind w:left="708"/>
        <w:rPr>
          <w:rFonts w:asciiTheme="minorHAnsi" w:hAnsiTheme="minorHAnsi" w:cstheme="minorHAnsi"/>
          <w:sz w:val="24"/>
          <w:szCs w:val="24"/>
        </w:rPr>
      </w:pPr>
    </w:p>
    <w:p w:rsidR="002C34D3" w:rsidRDefault="002C34D3" w:rsidP="00D54C69">
      <w:pPr>
        <w:pStyle w:val="BodyText"/>
        <w:spacing w:line="360" w:lineRule="auto"/>
        <w:ind w:left="708"/>
        <w:rPr>
          <w:rFonts w:asciiTheme="minorHAnsi" w:hAnsiTheme="minorHAnsi" w:cstheme="minorHAnsi"/>
          <w:sz w:val="24"/>
          <w:szCs w:val="24"/>
        </w:rPr>
      </w:pPr>
    </w:p>
    <w:p w:rsidR="007A36B0" w:rsidRPr="00A929CE" w:rsidRDefault="007A36B0" w:rsidP="00A929CE">
      <w:pPr>
        <w:pStyle w:val="BodyText"/>
        <w:numPr>
          <w:ilvl w:val="0"/>
          <w:numId w:val="42"/>
        </w:numPr>
        <w:spacing w:line="360" w:lineRule="auto"/>
        <w:rPr>
          <w:rFonts w:asciiTheme="minorHAnsi" w:hAnsiTheme="minorHAnsi" w:cstheme="minorHAnsi"/>
          <w:b/>
          <w:sz w:val="24"/>
          <w:szCs w:val="24"/>
        </w:rPr>
      </w:pPr>
      <w:r w:rsidRPr="00A929CE">
        <w:rPr>
          <w:rFonts w:asciiTheme="minorHAnsi" w:hAnsiTheme="minorHAnsi" w:cstheme="minorHAnsi"/>
          <w:b/>
          <w:sz w:val="24"/>
          <w:szCs w:val="24"/>
        </w:rPr>
        <w:t>Combler les inégalités géographiques</w:t>
      </w:r>
    </w:p>
    <w:p w:rsidR="00137E10" w:rsidRDefault="007A36B0" w:rsidP="00D54C69">
      <w:pPr>
        <w:pStyle w:val="BodyText"/>
        <w:spacing w:line="360" w:lineRule="auto"/>
        <w:ind w:left="708"/>
        <w:rPr>
          <w:rFonts w:asciiTheme="minorHAnsi" w:hAnsiTheme="minorHAnsi" w:cstheme="minorHAnsi"/>
          <w:sz w:val="24"/>
          <w:szCs w:val="24"/>
        </w:rPr>
      </w:pPr>
      <w:r w:rsidRPr="00A929CE">
        <w:rPr>
          <w:rFonts w:asciiTheme="minorHAnsi" w:hAnsiTheme="minorHAnsi" w:cstheme="minorHAnsi"/>
          <w:sz w:val="24"/>
          <w:szCs w:val="24"/>
        </w:rPr>
        <w:t>Le marché où l’action des communes ne peut pas suffire pour combler les inégalités géographiques – entre les zones rurales et les zones urbaines, et au sein des grandes villes entre le centre-ville et les zones périphériques. L’application de ce principe doit conduire à identifier les zones particulièrement défavorisées, à leur donner la priorité lors de la programmation et à faciliter leur accès aux financements publics. Le lien est fort entre ce principe et le CSCRP</w:t>
      </w:r>
      <w:r w:rsidR="007579EC">
        <w:rPr>
          <w:rFonts w:asciiTheme="minorHAnsi" w:hAnsiTheme="minorHAnsi" w:cstheme="minorHAnsi"/>
          <w:sz w:val="24"/>
          <w:szCs w:val="24"/>
        </w:rPr>
        <w:t> ;</w:t>
      </w:r>
    </w:p>
    <w:p w:rsidR="007A36B0" w:rsidRPr="00A929CE" w:rsidRDefault="007A36B0" w:rsidP="00A929CE">
      <w:pPr>
        <w:pStyle w:val="BodyText"/>
        <w:numPr>
          <w:ilvl w:val="0"/>
          <w:numId w:val="42"/>
        </w:numPr>
        <w:spacing w:line="360" w:lineRule="auto"/>
        <w:rPr>
          <w:rFonts w:asciiTheme="minorHAnsi" w:hAnsiTheme="minorHAnsi" w:cstheme="minorHAnsi"/>
          <w:b/>
          <w:sz w:val="24"/>
          <w:szCs w:val="24"/>
        </w:rPr>
      </w:pPr>
      <w:r w:rsidRPr="00A929CE">
        <w:rPr>
          <w:rFonts w:asciiTheme="minorHAnsi" w:hAnsiTheme="minorHAnsi" w:cstheme="minorHAnsi"/>
          <w:b/>
          <w:sz w:val="24"/>
          <w:szCs w:val="24"/>
        </w:rPr>
        <w:t>Principe de subsidiarité</w:t>
      </w:r>
    </w:p>
    <w:p w:rsidR="00137E10" w:rsidRDefault="007A36B0" w:rsidP="00D54C69">
      <w:pPr>
        <w:pStyle w:val="BodyText"/>
        <w:spacing w:line="360" w:lineRule="auto"/>
        <w:ind w:left="708"/>
        <w:rPr>
          <w:rFonts w:asciiTheme="minorHAnsi" w:hAnsiTheme="minorHAnsi" w:cstheme="minorHAnsi"/>
          <w:sz w:val="24"/>
          <w:szCs w:val="24"/>
        </w:rPr>
      </w:pPr>
      <w:r w:rsidRPr="00A929CE">
        <w:rPr>
          <w:rFonts w:asciiTheme="minorHAnsi" w:hAnsiTheme="minorHAnsi" w:cstheme="minorHAnsi"/>
          <w:sz w:val="24"/>
          <w:szCs w:val="24"/>
        </w:rPr>
        <w:t>Le principe de subsidiarité préconise de confier chaque fonction au niveau de décision le plus approprié. C’est l’application de ce principe qui conduit au renforcement de la maîtrise d’ouvrage des collectivités territoriales (décentralisation) et qui incite à confier un plus grand nombre de fonctions aux Directions Régionales des services de l’Etat (déconcentration). Le principe de subsidiarité s’applique tout particulièrement à l’assainissement, qui est un service public géré et décidé avant tout localement</w:t>
      </w:r>
      <w:r w:rsidR="007579EC">
        <w:rPr>
          <w:rFonts w:asciiTheme="minorHAnsi" w:hAnsiTheme="minorHAnsi" w:cstheme="minorHAnsi"/>
          <w:sz w:val="24"/>
          <w:szCs w:val="24"/>
        </w:rPr>
        <w:t> ;</w:t>
      </w:r>
    </w:p>
    <w:p w:rsidR="007A36B0" w:rsidRPr="00A929CE" w:rsidRDefault="007A36B0" w:rsidP="00A929CE">
      <w:pPr>
        <w:pStyle w:val="BodyText"/>
        <w:numPr>
          <w:ilvl w:val="0"/>
          <w:numId w:val="42"/>
        </w:numPr>
        <w:spacing w:line="360" w:lineRule="auto"/>
        <w:rPr>
          <w:rFonts w:asciiTheme="minorHAnsi" w:hAnsiTheme="minorHAnsi" w:cstheme="minorHAnsi"/>
          <w:b/>
          <w:sz w:val="24"/>
          <w:szCs w:val="24"/>
        </w:rPr>
      </w:pPr>
      <w:r w:rsidRPr="00A929CE">
        <w:rPr>
          <w:rFonts w:asciiTheme="minorHAnsi" w:hAnsiTheme="minorHAnsi" w:cstheme="minorHAnsi"/>
          <w:b/>
          <w:sz w:val="24"/>
          <w:szCs w:val="24"/>
        </w:rPr>
        <w:t>Mettre en adéquation l’offre et la demande</w:t>
      </w:r>
    </w:p>
    <w:p w:rsidR="00137E10" w:rsidRDefault="007A36B0" w:rsidP="00D54C69">
      <w:pPr>
        <w:pStyle w:val="BodyText"/>
        <w:spacing w:line="360" w:lineRule="auto"/>
        <w:ind w:left="708"/>
        <w:rPr>
          <w:rFonts w:asciiTheme="minorHAnsi" w:hAnsiTheme="minorHAnsi" w:cstheme="minorHAnsi"/>
          <w:sz w:val="24"/>
          <w:szCs w:val="24"/>
        </w:rPr>
      </w:pPr>
      <w:r w:rsidRPr="00A929CE">
        <w:rPr>
          <w:rFonts w:asciiTheme="minorHAnsi" w:hAnsiTheme="minorHAnsi" w:cstheme="minorHAnsi"/>
          <w:sz w:val="24"/>
          <w:szCs w:val="24"/>
        </w:rPr>
        <w:t>De nombreux aspects du secteur de l’assainissement sont organisés sous la forme d’un marché où l’offre des opérateurs privés cherche à rencontrer la demande des usagers. C’est le cas de la construction des latrines, du ramassage des ordures ou encore de l’évacuation des boues de vidange par les camions « spiros ».</w:t>
      </w:r>
    </w:p>
    <w:p w:rsidR="00137E10" w:rsidRDefault="007A36B0" w:rsidP="00D54C69">
      <w:pPr>
        <w:pStyle w:val="BodyText"/>
        <w:spacing w:line="360" w:lineRule="auto"/>
        <w:ind w:left="708"/>
        <w:rPr>
          <w:rFonts w:asciiTheme="minorHAnsi" w:hAnsiTheme="minorHAnsi" w:cstheme="minorHAnsi"/>
          <w:sz w:val="24"/>
          <w:szCs w:val="24"/>
        </w:rPr>
      </w:pPr>
      <w:r w:rsidRPr="00A929CE">
        <w:rPr>
          <w:rFonts w:asciiTheme="minorHAnsi" w:hAnsiTheme="minorHAnsi" w:cstheme="minorHAnsi"/>
          <w:sz w:val="24"/>
          <w:szCs w:val="24"/>
        </w:rPr>
        <w:t>Depuis quelques années, de nombreuses expériences au niveau international ont conduit à la conclusion qu’il était souvent plus fructueux d’analyser l’assainissement comme un marché et d’améliorer le fonctionnement de ce marché en utilisant les techniques de marketing utilisées pour n’importe quel autre produit commercialisé</w:t>
      </w:r>
      <w:r w:rsidR="007579EC">
        <w:rPr>
          <w:rFonts w:asciiTheme="minorHAnsi" w:hAnsiTheme="minorHAnsi" w:cstheme="minorHAnsi"/>
          <w:sz w:val="24"/>
          <w:szCs w:val="24"/>
        </w:rPr>
        <w:t> ;</w:t>
      </w:r>
    </w:p>
    <w:p w:rsidR="007A36B0" w:rsidRPr="00A929CE" w:rsidRDefault="007A36B0" w:rsidP="00A929CE">
      <w:pPr>
        <w:pStyle w:val="BodyText"/>
        <w:numPr>
          <w:ilvl w:val="0"/>
          <w:numId w:val="42"/>
        </w:numPr>
        <w:spacing w:line="360" w:lineRule="auto"/>
        <w:rPr>
          <w:rFonts w:asciiTheme="minorHAnsi" w:hAnsiTheme="minorHAnsi" w:cstheme="minorHAnsi"/>
          <w:b/>
          <w:sz w:val="24"/>
          <w:szCs w:val="24"/>
        </w:rPr>
      </w:pPr>
      <w:r w:rsidRPr="00A929CE">
        <w:rPr>
          <w:rFonts w:asciiTheme="minorHAnsi" w:hAnsiTheme="minorHAnsi" w:cstheme="minorHAnsi"/>
          <w:b/>
          <w:sz w:val="24"/>
          <w:szCs w:val="24"/>
        </w:rPr>
        <w:t>Pas d’eau potable sans assainissement</w:t>
      </w:r>
    </w:p>
    <w:p w:rsidR="00137E10" w:rsidRDefault="007A36B0" w:rsidP="00D54C69">
      <w:pPr>
        <w:pStyle w:val="BodyText"/>
        <w:spacing w:line="360" w:lineRule="auto"/>
        <w:ind w:left="708"/>
        <w:rPr>
          <w:rFonts w:asciiTheme="minorHAnsi" w:hAnsiTheme="minorHAnsi" w:cstheme="minorHAnsi"/>
          <w:sz w:val="24"/>
          <w:szCs w:val="24"/>
        </w:rPr>
      </w:pPr>
      <w:r w:rsidRPr="00A929CE">
        <w:rPr>
          <w:rFonts w:asciiTheme="minorHAnsi" w:hAnsiTheme="minorHAnsi" w:cstheme="minorHAnsi"/>
          <w:sz w:val="24"/>
          <w:szCs w:val="24"/>
        </w:rPr>
        <w:t xml:space="preserve">L’assainissement n’est pas toujours associé aux projets d’alimentation en eau potable. Or en général l’accès à l’eau potable engendre des quantités supplémentaires d’effluents qu’il faut évacuer. Les projets eau potable doivent donc impérativement comporter un </w:t>
      </w:r>
      <w:r w:rsidR="007579EC">
        <w:rPr>
          <w:rFonts w:asciiTheme="minorHAnsi" w:hAnsiTheme="minorHAnsi" w:cstheme="minorHAnsi"/>
          <w:sz w:val="24"/>
          <w:szCs w:val="24"/>
        </w:rPr>
        <w:t xml:space="preserve">important </w:t>
      </w:r>
      <w:r w:rsidRPr="00A929CE">
        <w:rPr>
          <w:rFonts w:asciiTheme="minorHAnsi" w:hAnsiTheme="minorHAnsi" w:cstheme="minorHAnsi"/>
          <w:sz w:val="24"/>
          <w:szCs w:val="24"/>
        </w:rPr>
        <w:t xml:space="preserve">volet </w:t>
      </w:r>
      <w:r w:rsidR="00453352" w:rsidRPr="00A929CE">
        <w:rPr>
          <w:rFonts w:asciiTheme="minorHAnsi" w:hAnsiTheme="minorHAnsi" w:cstheme="minorHAnsi"/>
          <w:sz w:val="24"/>
          <w:szCs w:val="24"/>
        </w:rPr>
        <w:t>assainissement,</w:t>
      </w:r>
      <w:r w:rsidRPr="00A929CE">
        <w:rPr>
          <w:rFonts w:asciiTheme="minorHAnsi" w:hAnsiTheme="minorHAnsi" w:cstheme="minorHAnsi"/>
          <w:sz w:val="24"/>
          <w:szCs w:val="24"/>
        </w:rPr>
        <w:t xml:space="preserve"> centré sur la promotion de l’hygiène auprès des groupes cibles, et sur l’encouragement à la construction de dispositifs adéquats d’assainissement, que ce soit au niveau des ménages, des opérateurs économiques, des institutions ou encore des zones collectives (c’est notamment le cas de la gestion des eaux pluviales).</w:t>
      </w:r>
    </w:p>
    <w:p w:rsidR="00137E10" w:rsidRDefault="007A36B0" w:rsidP="00D54C69">
      <w:pPr>
        <w:pStyle w:val="BodyText"/>
        <w:spacing w:line="360" w:lineRule="auto"/>
        <w:ind w:left="708"/>
        <w:rPr>
          <w:rFonts w:asciiTheme="minorHAnsi" w:hAnsiTheme="minorHAnsi" w:cstheme="minorHAnsi"/>
          <w:sz w:val="24"/>
          <w:szCs w:val="24"/>
        </w:rPr>
      </w:pPr>
      <w:r w:rsidRPr="00A929CE">
        <w:rPr>
          <w:rFonts w:asciiTheme="minorHAnsi" w:hAnsiTheme="minorHAnsi" w:cstheme="minorHAnsi"/>
          <w:sz w:val="24"/>
          <w:szCs w:val="24"/>
        </w:rPr>
        <w:t xml:space="preserve">Par ailleurs, au travers d’une bonne coordination DNH/DNACPN, tous les projets eau potable devront comporter un volet éducation à l’hygiène et </w:t>
      </w:r>
      <w:r w:rsidR="007579EC">
        <w:rPr>
          <w:rFonts w:asciiTheme="minorHAnsi" w:hAnsiTheme="minorHAnsi" w:cstheme="minorHAnsi"/>
          <w:sz w:val="24"/>
          <w:szCs w:val="24"/>
        </w:rPr>
        <w:t>l’</w:t>
      </w:r>
      <w:r w:rsidRPr="00A929CE">
        <w:rPr>
          <w:rFonts w:asciiTheme="minorHAnsi" w:hAnsiTheme="minorHAnsi" w:cstheme="minorHAnsi"/>
          <w:sz w:val="24"/>
          <w:szCs w:val="24"/>
        </w:rPr>
        <w:t>assainissement</w:t>
      </w:r>
      <w:r w:rsidR="009348AD">
        <w:rPr>
          <w:rFonts w:asciiTheme="minorHAnsi" w:hAnsiTheme="minorHAnsi" w:cstheme="minorHAnsi"/>
          <w:sz w:val="24"/>
          <w:szCs w:val="24"/>
        </w:rPr>
        <w:t> ;</w:t>
      </w:r>
    </w:p>
    <w:p w:rsidR="007A36B0" w:rsidRPr="00A929CE" w:rsidRDefault="007A36B0" w:rsidP="00A929CE">
      <w:pPr>
        <w:pStyle w:val="BodyText"/>
        <w:numPr>
          <w:ilvl w:val="0"/>
          <w:numId w:val="42"/>
        </w:numPr>
        <w:spacing w:line="360" w:lineRule="auto"/>
        <w:rPr>
          <w:rFonts w:asciiTheme="minorHAnsi" w:hAnsiTheme="minorHAnsi" w:cstheme="minorHAnsi"/>
          <w:b/>
          <w:sz w:val="24"/>
          <w:szCs w:val="24"/>
        </w:rPr>
      </w:pPr>
      <w:r w:rsidRPr="00A929CE">
        <w:rPr>
          <w:rFonts w:asciiTheme="minorHAnsi" w:hAnsiTheme="minorHAnsi" w:cstheme="minorHAnsi"/>
          <w:b/>
          <w:sz w:val="24"/>
          <w:szCs w:val="24"/>
        </w:rPr>
        <w:t>Education à l’hygiène</w:t>
      </w:r>
    </w:p>
    <w:p w:rsidR="00137E10" w:rsidRDefault="007A36B0" w:rsidP="00D54C69">
      <w:pPr>
        <w:pStyle w:val="BodyText"/>
        <w:spacing w:line="360" w:lineRule="auto"/>
        <w:ind w:left="360"/>
        <w:rPr>
          <w:rFonts w:asciiTheme="minorHAnsi" w:hAnsiTheme="minorHAnsi" w:cstheme="minorHAnsi"/>
          <w:sz w:val="24"/>
          <w:szCs w:val="24"/>
        </w:rPr>
      </w:pPr>
      <w:r w:rsidRPr="00A929CE">
        <w:rPr>
          <w:rFonts w:asciiTheme="minorHAnsi" w:hAnsiTheme="minorHAnsi" w:cstheme="minorHAnsi"/>
          <w:sz w:val="24"/>
          <w:szCs w:val="24"/>
        </w:rPr>
        <w:t>La construction d’ouvrages d’assainissement ne constitue qu’une réponse partielle au problème du manque d’assainissement et d’hygiène. Il est indispensable de promouvoir de bonnes pratiques en matière d’hygiène, et notamment le lavage des mains avec du savon.</w:t>
      </w:r>
    </w:p>
    <w:p w:rsidR="00137E10" w:rsidRDefault="007A36B0" w:rsidP="00D54C69">
      <w:pPr>
        <w:pStyle w:val="BodyText"/>
        <w:spacing w:line="360" w:lineRule="auto"/>
        <w:ind w:left="360"/>
        <w:rPr>
          <w:rFonts w:asciiTheme="minorHAnsi" w:hAnsiTheme="minorHAnsi" w:cstheme="minorHAnsi"/>
          <w:sz w:val="24"/>
          <w:szCs w:val="24"/>
        </w:rPr>
      </w:pPr>
      <w:r w:rsidRPr="00A929CE">
        <w:rPr>
          <w:rFonts w:asciiTheme="minorHAnsi" w:hAnsiTheme="minorHAnsi" w:cstheme="minorHAnsi"/>
          <w:sz w:val="24"/>
          <w:szCs w:val="24"/>
        </w:rPr>
        <w:t>Cette éducation à l’hygiène doit se faire en utilisant des supports de communication complémentaires (brochures, télévision, site internet, radio, théâtre, utilisation de personnages publics), en associant le porte-à-porte à la tenue de réunions publiques</w:t>
      </w:r>
      <w:r w:rsidR="009348AD">
        <w:rPr>
          <w:rFonts w:asciiTheme="minorHAnsi" w:hAnsiTheme="minorHAnsi" w:cstheme="minorHAnsi"/>
          <w:sz w:val="24"/>
          <w:szCs w:val="24"/>
        </w:rPr>
        <w:t> ;</w:t>
      </w:r>
    </w:p>
    <w:p w:rsidR="007A36B0" w:rsidRPr="00A929CE" w:rsidRDefault="007A36B0" w:rsidP="00A929CE">
      <w:pPr>
        <w:pStyle w:val="BodyText"/>
        <w:numPr>
          <w:ilvl w:val="0"/>
          <w:numId w:val="42"/>
        </w:numPr>
        <w:spacing w:line="360" w:lineRule="auto"/>
        <w:rPr>
          <w:rFonts w:asciiTheme="minorHAnsi" w:hAnsiTheme="minorHAnsi" w:cstheme="minorHAnsi"/>
          <w:b/>
          <w:sz w:val="24"/>
          <w:szCs w:val="24"/>
        </w:rPr>
      </w:pPr>
      <w:r w:rsidRPr="00A929CE">
        <w:rPr>
          <w:rFonts w:asciiTheme="minorHAnsi" w:hAnsiTheme="minorHAnsi" w:cstheme="minorHAnsi"/>
          <w:b/>
          <w:sz w:val="24"/>
          <w:szCs w:val="24"/>
        </w:rPr>
        <w:t>Dégager l’Etat de ses fonctions opérationnelles</w:t>
      </w:r>
    </w:p>
    <w:p w:rsidR="00137E10" w:rsidRDefault="007A36B0" w:rsidP="00D54C69">
      <w:pPr>
        <w:pStyle w:val="BodyText"/>
        <w:spacing w:line="360" w:lineRule="auto"/>
        <w:ind w:left="360"/>
        <w:rPr>
          <w:rFonts w:asciiTheme="minorHAnsi" w:hAnsiTheme="minorHAnsi" w:cstheme="minorHAnsi"/>
          <w:sz w:val="24"/>
          <w:szCs w:val="24"/>
        </w:rPr>
      </w:pPr>
      <w:r w:rsidRPr="00A929CE">
        <w:rPr>
          <w:rFonts w:asciiTheme="minorHAnsi" w:hAnsiTheme="minorHAnsi" w:cstheme="minorHAnsi"/>
          <w:sz w:val="24"/>
          <w:szCs w:val="24"/>
        </w:rPr>
        <w:t>Comme dans d’autres secteurs, le rôle de l’Etat n’est plus d’assurer des fonctions purement opérationnelles comme la mise en œuvre des projets d’investissements ou l’exploitation d’infrastructures (réseaux d’assainissement, usines de traitement des eaux usées, CET, etc.). Conformément aux principes de la décentralisation, les services de l’Etat doivent se repositionner dans une nouvelle fonction d’appui aux collectivités territoriales.</w:t>
      </w:r>
    </w:p>
    <w:p w:rsidR="007A36B0" w:rsidRPr="00A929CE" w:rsidRDefault="007A36B0" w:rsidP="00A929CE">
      <w:pPr>
        <w:pStyle w:val="BodyText"/>
        <w:numPr>
          <w:ilvl w:val="0"/>
          <w:numId w:val="42"/>
        </w:numPr>
        <w:spacing w:line="360" w:lineRule="auto"/>
        <w:rPr>
          <w:rFonts w:asciiTheme="minorHAnsi" w:hAnsiTheme="minorHAnsi" w:cstheme="minorHAnsi"/>
          <w:b/>
          <w:sz w:val="24"/>
          <w:szCs w:val="24"/>
        </w:rPr>
      </w:pPr>
      <w:r w:rsidRPr="00A929CE">
        <w:rPr>
          <w:rFonts w:asciiTheme="minorHAnsi" w:hAnsiTheme="minorHAnsi" w:cstheme="minorHAnsi"/>
          <w:b/>
          <w:sz w:val="24"/>
          <w:szCs w:val="24"/>
        </w:rPr>
        <w:t>Favoriser les partenariats publics-privés</w:t>
      </w:r>
    </w:p>
    <w:p w:rsidR="00137E10" w:rsidRDefault="007A36B0" w:rsidP="00D54C69">
      <w:pPr>
        <w:pStyle w:val="BodyText"/>
        <w:spacing w:line="360" w:lineRule="auto"/>
        <w:ind w:left="360"/>
        <w:rPr>
          <w:rFonts w:asciiTheme="minorHAnsi" w:hAnsiTheme="minorHAnsi" w:cstheme="minorHAnsi"/>
          <w:sz w:val="24"/>
          <w:szCs w:val="24"/>
        </w:rPr>
      </w:pPr>
      <w:r w:rsidRPr="00A929CE">
        <w:rPr>
          <w:rFonts w:asciiTheme="minorHAnsi" w:hAnsiTheme="minorHAnsi" w:cstheme="minorHAnsi"/>
          <w:sz w:val="24"/>
          <w:szCs w:val="24"/>
        </w:rPr>
        <w:t xml:space="preserve">L’implication du secteur privé est un principe important de la PNA. Les opérateurs privés (en général informels) et associatifs sont déjà actifs dans le secteur de l’assainissement – il s’agit par exemple des artisans qui construisent les latrines, ou des entrepreneurs qui opèrent </w:t>
      </w:r>
      <w:r w:rsidR="009348AD">
        <w:rPr>
          <w:rFonts w:asciiTheme="minorHAnsi" w:hAnsiTheme="minorHAnsi" w:cstheme="minorHAnsi"/>
          <w:sz w:val="24"/>
          <w:szCs w:val="24"/>
        </w:rPr>
        <w:t xml:space="preserve">avec </w:t>
      </w:r>
      <w:r w:rsidRPr="00A929CE">
        <w:rPr>
          <w:rFonts w:asciiTheme="minorHAnsi" w:hAnsiTheme="minorHAnsi" w:cstheme="minorHAnsi"/>
          <w:sz w:val="24"/>
          <w:szCs w:val="24"/>
        </w:rPr>
        <w:t>les camions vidangeurs, ou encore des bureaux d’études spécialisés.</w:t>
      </w:r>
    </w:p>
    <w:p w:rsidR="00137E10" w:rsidRDefault="007A36B0" w:rsidP="00D54C69">
      <w:pPr>
        <w:pStyle w:val="BodyText"/>
        <w:spacing w:line="360" w:lineRule="auto"/>
        <w:ind w:left="360"/>
        <w:rPr>
          <w:rFonts w:asciiTheme="minorHAnsi" w:hAnsiTheme="minorHAnsi" w:cstheme="minorHAnsi"/>
          <w:sz w:val="24"/>
          <w:szCs w:val="24"/>
        </w:rPr>
      </w:pPr>
      <w:r w:rsidRPr="00A929CE">
        <w:rPr>
          <w:rFonts w:asciiTheme="minorHAnsi" w:hAnsiTheme="minorHAnsi" w:cstheme="minorHAnsi"/>
          <w:sz w:val="24"/>
          <w:szCs w:val="24"/>
        </w:rPr>
        <w:t xml:space="preserve">A tous les niveaux de mise en œuvre de la Politique Nationale et sur les trois maillons de la chaîne d’assainissement (collecte, évacuation, traitement), les opérateurs privés peuvent être impliqués sous la forme d’un contrat de délégation de service public passé entre la commune et l’opérateur, à condition </w:t>
      </w:r>
    </w:p>
    <w:p w:rsidR="007A36B0" w:rsidRPr="00A929CE" w:rsidRDefault="007A36B0" w:rsidP="00A929CE">
      <w:pPr>
        <w:pStyle w:val="BodyText"/>
        <w:numPr>
          <w:ilvl w:val="0"/>
          <w:numId w:val="42"/>
        </w:numPr>
        <w:spacing w:line="360" w:lineRule="auto"/>
        <w:rPr>
          <w:rFonts w:asciiTheme="minorHAnsi" w:hAnsiTheme="minorHAnsi" w:cstheme="minorHAnsi"/>
          <w:b/>
          <w:sz w:val="24"/>
          <w:szCs w:val="24"/>
        </w:rPr>
      </w:pPr>
      <w:r w:rsidRPr="00A929CE">
        <w:rPr>
          <w:rFonts w:asciiTheme="minorHAnsi" w:hAnsiTheme="minorHAnsi" w:cstheme="minorHAnsi"/>
          <w:b/>
          <w:sz w:val="24"/>
          <w:szCs w:val="24"/>
        </w:rPr>
        <w:t>Renforcer la coordination sectorielle</w:t>
      </w:r>
    </w:p>
    <w:p w:rsidR="00137E10" w:rsidRDefault="007A36B0" w:rsidP="00D54C69">
      <w:pPr>
        <w:pStyle w:val="BodyText"/>
        <w:spacing w:line="360" w:lineRule="auto"/>
        <w:ind w:left="360"/>
        <w:rPr>
          <w:rFonts w:asciiTheme="minorHAnsi" w:hAnsiTheme="minorHAnsi" w:cstheme="minorHAnsi"/>
          <w:sz w:val="24"/>
          <w:szCs w:val="24"/>
        </w:rPr>
      </w:pPr>
      <w:r w:rsidRPr="00A929CE">
        <w:rPr>
          <w:rFonts w:asciiTheme="minorHAnsi" w:hAnsiTheme="minorHAnsi" w:cstheme="minorHAnsi"/>
          <w:sz w:val="24"/>
          <w:szCs w:val="24"/>
        </w:rPr>
        <w:t>Les nombreuses institutions intervenant dans le secteur de l’assainissement rendent nécessaire la mise en place d’une structure de coordination. Le rôle de chef de file est confié au Ministère en charge de l’assainissement et à la DNACPN. L’approche programme peut constituer un bon support pour cette coordination.</w:t>
      </w:r>
    </w:p>
    <w:p w:rsidR="007A36B0" w:rsidRPr="00A929CE" w:rsidRDefault="007A36B0" w:rsidP="00A929CE">
      <w:pPr>
        <w:pStyle w:val="BodyText"/>
        <w:numPr>
          <w:ilvl w:val="0"/>
          <w:numId w:val="42"/>
        </w:numPr>
        <w:spacing w:line="360" w:lineRule="auto"/>
        <w:rPr>
          <w:rFonts w:asciiTheme="minorHAnsi" w:hAnsiTheme="minorHAnsi" w:cstheme="minorHAnsi"/>
          <w:b/>
          <w:sz w:val="24"/>
          <w:szCs w:val="24"/>
        </w:rPr>
      </w:pPr>
      <w:r w:rsidRPr="00A929CE">
        <w:rPr>
          <w:rFonts w:asciiTheme="minorHAnsi" w:hAnsiTheme="minorHAnsi" w:cstheme="minorHAnsi"/>
          <w:b/>
          <w:sz w:val="24"/>
          <w:szCs w:val="24"/>
        </w:rPr>
        <w:t>Renforcer les capacités des acteurs</w:t>
      </w:r>
    </w:p>
    <w:p w:rsidR="00137E10" w:rsidRDefault="007A36B0" w:rsidP="00D54C69">
      <w:pPr>
        <w:pStyle w:val="BodyText"/>
        <w:spacing w:line="360" w:lineRule="auto"/>
        <w:ind w:left="360"/>
        <w:rPr>
          <w:rFonts w:asciiTheme="minorHAnsi" w:hAnsiTheme="minorHAnsi" w:cstheme="minorHAnsi"/>
          <w:sz w:val="24"/>
          <w:szCs w:val="24"/>
        </w:rPr>
      </w:pPr>
      <w:r w:rsidRPr="00A929CE">
        <w:rPr>
          <w:rFonts w:asciiTheme="minorHAnsi" w:hAnsiTheme="minorHAnsi" w:cstheme="minorHAnsi"/>
          <w:sz w:val="24"/>
          <w:szCs w:val="24"/>
        </w:rPr>
        <w:t>Le renforcement des capacités des acteurs est un des piliers de la PNA. Il s’agit de développer les ressources humaines du secteur, tant sur le plan quantitatif que qualitatif.</w:t>
      </w:r>
    </w:p>
    <w:p w:rsidR="00137E10" w:rsidRDefault="007A36B0" w:rsidP="00D54C69">
      <w:pPr>
        <w:pStyle w:val="BodyText"/>
        <w:spacing w:line="360" w:lineRule="auto"/>
        <w:ind w:left="360"/>
        <w:rPr>
          <w:rFonts w:asciiTheme="minorHAnsi" w:hAnsiTheme="minorHAnsi" w:cstheme="minorHAnsi"/>
          <w:sz w:val="24"/>
          <w:szCs w:val="24"/>
        </w:rPr>
      </w:pPr>
      <w:r w:rsidRPr="00A929CE">
        <w:rPr>
          <w:rFonts w:asciiTheme="minorHAnsi" w:hAnsiTheme="minorHAnsi" w:cstheme="minorHAnsi"/>
          <w:sz w:val="24"/>
          <w:szCs w:val="24"/>
        </w:rPr>
        <w:t>Les communes sont les premières concernées, puisque les moyens qu’elles peuvent actuellement mobiliser dans le cadre de la décentralisation sont très insuffisants. Les services centraux et déconcentrés de l’Etat, dont les missions sont redéfinies par la politique nationale, devront également être visés par le renforcement des capacités, ainsi que, les acteurs privés et associatifs.</w:t>
      </w:r>
    </w:p>
    <w:p w:rsidR="00137E10" w:rsidRDefault="007A36B0" w:rsidP="00D54C69">
      <w:pPr>
        <w:pStyle w:val="BodyText"/>
        <w:spacing w:line="360" w:lineRule="auto"/>
        <w:ind w:left="360"/>
        <w:rPr>
          <w:rFonts w:asciiTheme="minorHAnsi" w:hAnsiTheme="minorHAnsi" w:cstheme="minorHAnsi"/>
          <w:sz w:val="24"/>
          <w:szCs w:val="24"/>
        </w:rPr>
      </w:pPr>
      <w:r w:rsidRPr="00A929CE">
        <w:rPr>
          <w:rFonts w:asciiTheme="minorHAnsi" w:hAnsiTheme="minorHAnsi" w:cstheme="minorHAnsi"/>
          <w:sz w:val="24"/>
          <w:szCs w:val="24"/>
        </w:rPr>
        <w:t>La mise en œuvre de ce principe est un engagement à long terme du secteur, dont les effets ne se feront sentir qu’après plusieurs années de persévérance.</w:t>
      </w:r>
    </w:p>
    <w:p w:rsidR="007A36B0" w:rsidRPr="00A929CE" w:rsidRDefault="007A36B0" w:rsidP="00A929CE">
      <w:pPr>
        <w:pStyle w:val="BodyText"/>
        <w:numPr>
          <w:ilvl w:val="0"/>
          <w:numId w:val="42"/>
        </w:numPr>
        <w:spacing w:line="360" w:lineRule="auto"/>
        <w:rPr>
          <w:rFonts w:asciiTheme="minorHAnsi" w:hAnsiTheme="minorHAnsi" w:cstheme="minorHAnsi"/>
          <w:b/>
          <w:sz w:val="24"/>
          <w:szCs w:val="24"/>
        </w:rPr>
      </w:pPr>
      <w:r w:rsidRPr="00A929CE">
        <w:rPr>
          <w:rFonts w:asciiTheme="minorHAnsi" w:hAnsiTheme="minorHAnsi" w:cstheme="minorHAnsi"/>
          <w:b/>
          <w:sz w:val="24"/>
          <w:szCs w:val="24"/>
        </w:rPr>
        <w:t>Mesurer la performance du secteur</w:t>
      </w:r>
    </w:p>
    <w:p w:rsidR="00137E10" w:rsidRDefault="007A36B0" w:rsidP="00D54C69">
      <w:pPr>
        <w:pStyle w:val="BodyText"/>
        <w:spacing w:line="360" w:lineRule="auto"/>
        <w:ind w:left="360"/>
        <w:rPr>
          <w:rFonts w:asciiTheme="minorHAnsi" w:hAnsiTheme="minorHAnsi" w:cstheme="minorHAnsi"/>
          <w:sz w:val="24"/>
          <w:szCs w:val="24"/>
        </w:rPr>
      </w:pPr>
      <w:r w:rsidRPr="00A929CE">
        <w:rPr>
          <w:rFonts w:asciiTheme="minorHAnsi" w:hAnsiTheme="minorHAnsi" w:cstheme="minorHAnsi"/>
          <w:sz w:val="24"/>
          <w:szCs w:val="24"/>
        </w:rPr>
        <w:t>Il n’existe à l’heure actuelle aucun système de suivi-évaluation qui permet de mesurer régulièrement la performance du secteur, en utilisant des indicateurs définis au préalable.</w:t>
      </w:r>
    </w:p>
    <w:p w:rsidR="00137E10" w:rsidRDefault="007A36B0" w:rsidP="00D54C69">
      <w:pPr>
        <w:pStyle w:val="BodyText"/>
        <w:spacing w:line="360" w:lineRule="auto"/>
        <w:ind w:left="360"/>
        <w:rPr>
          <w:rFonts w:asciiTheme="minorHAnsi" w:hAnsiTheme="minorHAnsi" w:cstheme="minorHAnsi"/>
          <w:sz w:val="24"/>
          <w:szCs w:val="24"/>
        </w:rPr>
      </w:pPr>
      <w:r w:rsidRPr="00A929CE">
        <w:rPr>
          <w:rFonts w:asciiTheme="minorHAnsi" w:hAnsiTheme="minorHAnsi" w:cstheme="minorHAnsi"/>
          <w:sz w:val="24"/>
          <w:szCs w:val="24"/>
        </w:rPr>
        <w:t>Cet engagement du secteur est indissociable de l’approche programme. Les indicateurs ne devront pas porter que sur les aspects infrastructures et l’accès au service en tant que tel, mais aussi aborder les aspects tels que la gouvernance, la qualité des services fournis, l’implication de la société civile, la prise en compte de la dimension genre, etc.</w:t>
      </w:r>
    </w:p>
    <w:p w:rsidR="00647D81" w:rsidRPr="00A929CE" w:rsidRDefault="00CE195C" w:rsidP="00A929CE">
      <w:pPr>
        <w:pStyle w:val="Titre3"/>
        <w:spacing w:line="360" w:lineRule="auto"/>
        <w:rPr>
          <w:rFonts w:asciiTheme="minorHAnsi" w:hAnsiTheme="minorHAnsi"/>
          <w:sz w:val="24"/>
          <w:szCs w:val="24"/>
        </w:rPr>
      </w:pPr>
      <w:bookmarkStart w:id="49" w:name="_Toc515437488"/>
      <w:bookmarkStart w:id="50" w:name="_Toc515437489"/>
      <w:bookmarkStart w:id="51" w:name="_Toc515437490"/>
      <w:bookmarkStart w:id="52" w:name="_Toc536448598"/>
      <w:bookmarkEnd w:id="49"/>
      <w:bookmarkEnd w:id="50"/>
      <w:bookmarkEnd w:id="51"/>
      <w:r w:rsidRPr="00A929CE">
        <w:rPr>
          <w:rFonts w:asciiTheme="minorHAnsi" w:hAnsiTheme="minorHAnsi"/>
          <w:sz w:val="24"/>
          <w:szCs w:val="24"/>
        </w:rPr>
        <w:t>Evaluation des r</w:t>
      </w:r>
      <w:r w:rsidR="007D7C9C" w:rsidRPr="00A929CE">
        <w:rPr>
          <w:rFonts w:asciiTheme="minorHAnsi" w:hAnsiTheme="minorHAnsi"/>
          <w:sz w:val="24"/>
          <w:szCs w:val="24"/>
        </w:rPr>
        <w:t>ésultats attendus de la PNA</w:t>
      </w:r>
      <w:bookmarkEnd w:id="52"/>
    </w:p>
    <w:p w:rsidR="008C046F" w:rsidRPr="00A929CE" w:rsidRDefault="00D03433" w:rsidP="00B8772C">
      <w:pPr>
        <w:spacing w:line="360" w:lineRule="auto"/>
        <w:jc w:val="both"/>
        <w:rPr>
          <w:rFonts w:asciiTheme="minorHAnsi" w:hAnsiTheme="minorHAnsi" w:cstheme="minorHAnsi"/>
          <w:bCs/>
          <w:iCs/>
          <w:sz w:val="24"/>
          <w:szCs w:val="24"/>
        </w:rPr>
      </w:pPr>
      <w:r w:rsidRPr="00B8772C">
        <w:rPr>
          <w:rFonts w:asciiTheme="minorHAnsi" w:hAnsiTheme="minorHAnsi" w:cstheme="minorHAnsi"/>
          <w:sz w:val="24"/>
          <w:szCs w:val="24"/>
        </w:rPr>
        <w:t xml:space="preserve">Trente-quatre (34) résultats sont </w:t>
      </w:r>
      <w:r w:rsidR="008C01F3" w:rsidRPr="001754BB">
        <w:rPr>
          <w:rFonts w:asciiTheme="minorHAnsi" w:hAnsiTheme="minorHAnsi" w:cstheme="minorHAnsi"/>
          <w:sz w:val="24"/>
          <w:szCs w:val="24"/>
        </w:rPr>
        <w:t xml:space="preserve">attendus de la mise en œuvre </w:t>
      </w:r>
      <w:r w:rsidRPr="001754BB">
        <w:rPr>
          <w:rFonts w:asciiTheme="minorHAnsi" w:hAnsiTheme="minorHAnsi" w:cstheme="minorHAnsi"/>
          <w:sz w:val="24"/>
          <w:szCs w:val="24"/>
        </w:rPr>
        <w:t>de la PNA</w:t>
      </w:r>
      <w:r w:rsidR="008C01F3" w:rsidRPr="00BC7FF5">
        <w:rPr>
          <w:rFonts w:asciiTheme="minorHAnsi" w:hAnsiTheme="minorHAnsi" w:cstheme="minorHAnsi"/>
          <w:sz w:val="24"/>
          <w:szCs w:val="24"/>
        </w:rPr>
        <w:t xml:space="preserve">. </w:t>
      </w:r>
      <w:r w:rsidR="008C046F" w:rsidRPr="00BC7FF5">
        <w:rPr>
          <w:rFonts w:asciiTheme="minorHAnsi" w:hAnsiTheme="minorHAnsi" w:cstheme="minorHAnsi"/>
          <w:sz w:val="24"/>
          <w:szCs w:val="24"/>
        </w:rPr>
        <w:t>L’appréciation</w:t>
      </w:r>
      <w:r w:rsidR="008C01F3" w:rsidRPr="00BC7FF5">
        <w:rPr>
          <w:rFonts w:asciiTheme="minorHAnsi" w:hAnsiTheme="minorHAnsi" w:cstheme="minorHAnsi"/>
          <w:sz w:val="24"/>
          <w:szCs w:val="24"/>
        </w:rPr>
        <w:t xml:space="preserve"> de la mise en œuvre de la PNA passe par l’évaluation de l’atteinte d</w:t>
      </w:r>
      <w:r w:rsidR="008C01F3" w:rsidRPr="0022409F">
        <w:rPr>
          <w:rFonts w:asciiTheme="minorHAnsi" w:hAnsiTheme="minorHAnsi" w:cstheme="minorHAnsi"/>
          <w:sz w:val="24"/>
          <w:szCs w:val="24"/>
        </w:rPr>
        <w:t xml:space="preserve">es résultats à elle assignés. </w:t>
      </w:r>
      <w:r w:rsidR="008C046F" w:rsidRPr="00112EE9">
        <w:rPr>
          <w:rFonts w:asciiTheme="minorHAnsi" w:hAnsiTheme="minorHAnsi" w:cstheme="minorHAnsi"/>
          <w:sz w:val="24"/>
          <w:szCs w:val="24"/>
        </w:rPr>
        <w:t>Il faut remarquer que l</w:t>
      </w:r>
      <w:r w:rsidR="008C046F" w:rsidRPr="00112EE9">
        <w:rPr>
          <w:rFonts w:asciiTheme="minorHAnsi" w:hAnsiTheme="minorHAnsi" w:cstheme="minorHAnsi"/>
          <w:color w:val="000000"/>
          <w:sz w:val="24"/>
          <w:szCs w:val="24"/>
        </w:rPr>
        <w:t xml:space="preserve">e document de politique nationale d’assainissement ne formule pas clairement et d’une manière précise, des axes d’orientation autour desquels les activités projetées pourraient être organisées selon un enchainement logique. </w:t>
      </w:r>
      <w:r w:rsidR="008C046F" w:rsidRPr="00D863B8">
        <w:rPr>
          <w:rFonts w:asciiTheme="minorHAnsi" w:hAnsiTheme="minorHAnsi" w:cstheme="minorHAnsi"/>
          <w:sz w:val="24"/>
          <w:szCs w:val="24"/>
        </w:rPr>
        <w:t>Nonobstant</w:t>
      </w:r>
      <w:r w:rsidR="002C34D3">
        <w:rPr>
          <w:rFonts w:asciiTheme="minorHAnsi" w:hAnsiTheme="minorHAnsi" w:cstheme="minorHAnsi"/>
          <w:sz w:val="24"/>
          <w:szCs w:val="24"/>
        </w:rPr>
        <w:t xml:space="preserve"> </w:t>
      </w:r>
      <w:r w:rsidR="002C34D3" w:rsidRPr="002C34D3">
        <w:rPr>
          <w:rFonts w:asciiTheme="minorHAnsi" w:hAnsiTheme="minorHAnsi" w:cstheme="minorHAnsi"/>
          <w:color w:val="FF0000"/>
          <w:sz w:val="24"/>
          <w:szCs w:val="24"/>
        </w:rPr>
        <w:t xml:space="preserve">cela, </w:t>
      </w:r>
      <w:r w:rsidR="008C046F" w:rsidRPr="002C34D3">
        <w:rPr>
          <w:rFonts w:asciiTheme="minorHAnsi" w:hAnsiTheme="minorHAnsi" w:cstheme="minorHAnsi"/>
          <w:color w:val="FF0000"/>
          <w:sz w:val="24"/>
          <w:szCs w:val="24"/>
        </w:rPr>
        <w:t>ledit</w:t>
      </w:r>
      <w:r w:rsidR="008C046F" w:rsidRPr="00D863B8">
        <w:rPr>
          <w:rFonts w:asciiTheme="minorHAnsi" w:hAnsiTheme="minorHAnsi" w:cstheme="minorHAnsi"/>
          <w:sz w:val="24"/>
          <w:szCs w:val="24"/>
        </w:rPr>
        <w:t xml:space="preserve"> document expose largement des projections de « résultats » à atteindre sans qu’on ne sache ce qui a pu leur servir de fondement, encore moins les objectifs et les axes auxquels ils se rattach</w:t>
      </w:r>
      <w:r w:rsidR="008C046F" w:rsidRPr="00A929CE">
        <w:rPr>
          <w:rFonts w:asciiTheme="minorHAnsi" w:hAnsiTheme="minorHAnsi" w:cstheme="minorHAnsi"/>
          <w:sz w:val="24"/>
          <w:szCs w:val="24"/>
        </w:rPr>
        <w:t xml:space="preserve">ent. </w:t>
      </w:r>
      <w:r w:rsidR="008C046F" w:rsidRPr="00A929CE">
        <w:rPr>
          <w:rFonts w:asciiTheme="minorHAnsi" w:hAnsiTheme="minorHAnsi" w:cstheme="minorHAnsi"/>
          <w:bCs/>
          <w:iCs/>
          <w:sz w:val="24"/>
          <w:szCs w:val="24"/>
        </w:rPr>
        <w:t xml:space="preserve">Les stratégies sous sectorielles comportent chacune un plan d’actions mais ces derniers sont isolés parce qu’ils n’ont pas de liens entre eux. Aussi, ces plans d’actions ne sont pas formulés en référence à des objectifs et des résultats attendus. Ils ressemblent plutôt à une présentation synoptique des activités à mettre en œuvre, ce qui ne permet pas d’apprécier les changements intervenus du fait de la mise en œuvre de la PNA. </w:t>
      </w:r>
    </w:p>
    <w:p w:rsidR="008C046F" w:rsidRPr="00A929CE" w:rsidRDefault="008C046F" w:rsidP="00B8772C">
      <w:pPr>
        <w:pStyle w:val="BodyText"/>
        <w:spacing w:line="360" w:lineRule="auto"/>
        <w:rPr>
          <w:rFonts w:asciiTheme="minorHAnsi" w:hAnsiTheme="minorHAnsi"/>
          <w:sz w:val="24"/>
          <w:szCs w:val="24"/>
        </w:rPr>
      </w:pPr>
      <w:r w:rsidRPr="00A929CE">
        <w:rPr>
          <w:rFonts w:asciiTheme="minorHAnsi" w:hAnsiTheme="minorHAnsi" w:cstheme="minorHAnsi"/>
          <w:sz w:val="24"/>
          <w:szCs w:val="24"/>
        </w:rPr>
        <w:t xml:space="preserve">En tout état de cause, même à supposer que des cadres logiques aient été élaborés, en l’absence d’une situation de référence établie au démarrage de la mise en œuvre desdites stratégies, la mesure des progrès enregistrés resterait une contrainte difficile à surmonter. En effet, le suivi-évaluation implique l’existence d’une situation de départ en référence à laquelle les progrès accomplis seront appréciés. </w:t>
      </w:r>
      <w:r w:rsidRPr="00A929CE">
        <w:rPr>
          <w:rFonts w:asciiTheme="minorHAnsi" w:eastAsia="Calibri" w:hAnsiTheme="minorHAnsi" w:cstheme="minorHAnsi"/>
          <w:sz w:val="24"/>
          <w:szCs w:val="24"/>
        </w:rPr>
        <w:t>Il est évident qu’en l’absence d’une telle situation, l’appréciation devient difficile</w:t>
      </w:r>
      <w:r w:rsidR="00E00606">
        <w:rPr>
          <w:rFonts w:asciiTheme="minorHAnsi" w:eastAsia="Calibri" w:hAnsiTheme="minorHAnsi" w:cstheme="minorHAnsi"/>
          <w:sz w:val="24"/>
          <w:szCs w:val="24"/>
        </w:rPr>
        <w:t>.</w:t>
      </w:r>
      <w:r w:rsidR="002C34D3">
        <w:rPr>
          <w:rFonts w:asciiTheme="minorHAnsi" w:eastAsia="Calibri" w:hAnsiTheme="minorHAnsi" w:cstheme="minorHAnsi"/>
          <w:sz w:val="24"/>
          <w:szCs w:val="24"/>
        </w:rPr>
        <w:t xml:space="preserve"> </w:t>
      </w:r>
      <w:r w:rsidR="00E00606" w:rsidRPr="00A929CE">
        <w:rPr>
          <w:rFonts w:asciiTheme="minorHAnsi" w:eastAsia="Calibri" w:hAnsiTheme="minorHAnsi" w:cstheme="minorHAnsi"/>
          <w:sz w:val="24"/>
          <w:szCs w:val="24"/>
        </w:rPr>
        <w:t>Il est évident qu’en l’absence d’une situation de référence, les cibles à atteindre n’ont pas pu être objectivement déterminées.</w:t>
      </w:r>
    </w:p>
    <w:p w:rsidR="008C046F" w:rsidRPr="001754BB" w:rsidRDefault="008C046F" w:rsidP="001754BB">
      <w:pPr>
        <w:spacing w:line="360" w:lineRule="auto"/>
        <w:jc w:val="both"/>
        <w:rPr>
          <w:rFonts w:asciiTheme="minorHAnsi" w:hAnsiTheme="minorHAnsi" w:cstheme="minorHAnsi"/>
          <w:sz w:val="24"/>
          <w:szCs w:val="24"/>
        </w:rPr>
      </w:pPr>
      <w:bookmarkStart w:id="53" w:name="_Toc515443522"/>
      <w:bookmarkStart w:id="54" w:name="_Toc515443523"/>
      <w:bookmarkStart w:id="55" w:name="_Toc515443524"/>
      <w:bookmarkStart w:id="56" w:name="_Toc515443525"/>
      <w:bookmarkStart w:id="57" w:name="_Toc515443526"/>
      <w:bookmarkStart w:id="58" w:name="_Toc515443527"/>
      <w:bookmarkStart w:id="59" w:name="_Toc515443530"/>
      <w:bookmarkEnd w:id="53"/>
      <w:bookmarkEnd w:id="54"/>
      <w:bookmarkEnd w:id="55"/>
      <w:bookmarkEnd w:id="56"/>
      <w:bookmarkEnd w:id="57"/>
      <w:bookmarkEnd w:id="58"/>
      <w:bookmarkEnd w:id="59"/>
      <w:r w:rsidRPr="00B8772C">
        <w:rPr>
          <w:rFonts w:asciiTheme="minorHAnsi" w:hAnsiTheme="minorHAnsi" w:cstheme="minorHAnsi"/>
          <w:sz w:val="24"/>
          <w:szCs w:val="24"/>
        </w:rPr>
        <w:t>L’absence d’un cadre logique de la PNA n’a pas permis de savoir à quelle logique d’intervention correspondent ces résultats, encore moins d’ap</w:t>
      </w:r>
      <w:r w:rsidRPr="001754BB">
        <w:rPr>
          <w:rFonts w:asciiTheme="minorHAnsi" w:hAnsiTheme="minorHAnsi" w:cstheme="minorHAnsi"/>
          <w:sz w:val="24"/>
          <w:szCs w:val="24"/>
        </w:rPr>
        <w:t>précier leur niveau de réalisation en termes d’effets/impacts.</w:t>
      </w:r>
    </w:p>
    <w:p w:rsidR="008C046F" w:rsidRPr="00BC7FF5" w:rsidRDefault="008C046F" w:rsidP="001754BB">
      <w:pPr>
        <w:spacing w:line="360" w:lineRule="auto"/>
        <w:jc w:val="both"/>
        <w:rPr>
          <w:rFonts w:asciiTheme="minorHAnsi" w:hAnsiTheme="minorHAnsi" w:cstheme="minorHAnsi"/>
          <w:bCs/>
          <w:iCs/>
          <w:sz w:val="24"/>
          <w:szCs w:val="24"/>
        </w:rPr>
      </w:pPr>
      <w:r w:rsidRPr="001754BB">
        <w:rPr>
          <w:rFonts w:asciiTheme="minorHAnsi" w:hAnsiTheme="minorHAnsi" w:cstheme="minorHAnsi"/>
          <w:bCs/>
          <w:iCs/>
          <w:sz w:val="24"/>
          <w:szCs w:val="24"/>
        </w:rPr>
        <w:t>Certes, les stratégies sous sectorielles comportent chacune un plan d’actions mais ces derniers sont isolés en ce qu’ils n’ont pas de liens entre eux. Pire, ces plans d’actions ne sont pas formulés en référence à des objectifs et des résultats attendus. Ils ressemblent plutôt à une présentation synoptique des activités à mettre en œuvre</w:t>
      </w:r>
      <w:r w:rsidR="00E00606">
        <w:rPr>
          <w:rFonts w:asciiTheme="minorHAnsi" w:hAnsiTheme="minorHAnsi" w:cstheme="minorHAnsi"/>
          <w:bCs/>
          <w:iCs/>
          <w:sz w:val="24"/>
          <w:szCs w:val="24"/>
        </w:rPr>
        <w:t xml:space="preserve"> comme l’illustre le tableau qui suit : .</w:t>
      </w:r>
      <w:r w:rsidRPr="001754BB">
        <w:rPr>
          <w:rFonts w:asciiTheme="minorHAnsi" w:hAnsiTheme="minorHAnsi" w:cstheme="minorHAnsi"/>
          <w:bCs/>
          <w:iCs/>
          <w:sz w:val="24"/>
          <w:szCs w:val="24"/>
        </w:rPr>
        <w:t>,</w:t>
      </w:r>
      <w:r w:rsidRPr="00BC7FF5">
        <w:rPr>
          <w:rFonts w:asciiTheme="minorHAnsi" w:hAnsiTheme="minorHAnsi" w:cstheme="minorHAnsi"/>
          <w:bCs/>
          <w:iCs/>
          <w:sz w:val="24"/>
          <w:szCs w:val="24"/>
        </w:rPr>
        <w:t>.</w:t>
      </w:r>
    </w:p>
    <w:p w:rsidR="008C046F" w:rsidRPr="00112EE9" w:rsidRDefault="008C046F" w:rsidP="001754BB">
      <w:pPr>
        <w:spacing w:line="360" w:lineRule="auto"/>
        <w:jc w:val="both"/>
        <w:rPr>
          <w:rFonts w:asciiTheme="minorHAnsi" w:hAnsiTheme="minorHAnsi" w:cstheme="minorHAnsi"/>
          <w:sz w:val="24"/>
          <w:szCs w:val="24"/>
        </w:rPr>
      </w:pPr>
    </w:p>
    <w:p w:rsidR="008C046F" w:rsidRPr="00A929CE" w:rsidRDefault="008C046F" w:rsidP="00BC7FF5">
      <w:pPr>
        <w:spacing w:line="360" w:lineRule="auto"/>
        <w:jc w:val="both"/>
        <w:rPr>
          <w:rFonts w:asciiTheme="minorHAnsi" w:eastAsia="Calibri" w:hAnsiTheme="minorHAnsi" w:cstheme="minorHAnsi"/>
          <w:sz w:val="24"/>
          <w:szCs w:val="24"/>
        </w:rPr>
      </w:pPr>
      <w:r w:rsidRPr="00D863B8">
        <w:rPr>
          <w:rFonts w:asciiTheme="minorHAnsi" w:hAnsiTheme="minorHAnsi" w:cstheme="minorHAnsi"/>
          <w:sz w:val="24"/>
          <w:szCs w:val="24"/>
        </w:rPr>
        <w:t xml:space="preserve">. </w:t>
      </w:r>
    </w:p>
    <w:p w:rsidR="008C01F3" w:rsidRPr="00A929CE" w:rsidRDefault="008C01F3" w:rsidP="00A929CE">
      <w:pPr>
        <w:pStyle w:val="BodyText"/>
        <w:spacing w:line="360" w:lineRule="auto"/>
        <w:rPr>
          <w:rFonts w:asciiTheme="minorHAnsi" w:hAnsiTheme="minorHAnsi" w:cstheme="minorHAnsi"/>
          <w:sz w:val="24"/>
          <w:szCs w:val="24"/>
        </w:rPr>
        <w:sectPr w:rsidR="008C01F3" w:rsidRPr="00A929CE" w:rsidSect="003154FC">
          <w:pgSz w:w="11906" w:h="16838"/>
          <w:pgMar w:top="1417" w:right="1417" w:bottom="1417" w:left="1417" w:header="708" w:footer="708" w:gutter="0"/>
          <w:cols w:space="708"/>
          <w:docGrid w:linePitch="360"/>
        </w:sectPr>
      </w:pPr>
    </w:p>
    <w:p w:rsidR="008C01F3" w:rsidRPr="002C34D3" w:rsidRDefault="00453352" w:rsidP="00453352">
      <w:pPr>
        <w:pStyle w:val="Lgende"/>
        <w:rPr>
          <w:rFonts w:asciiTheme="minorHAnsi" w:hAnsiTheme="minorHAnsi" w:cstheme="minorHAnsi"/>
          <w:b w:val="0"/>
          <w:color w:val="FF0000"/>
          <w:sz w:val="24"/>
          <w:szCs w:val="24"/>
        </w:rPr>
      </w:pPr>
      <w:r>
        <w:t xml:space="preserve">Tableau </w:t>
      </w:r>
      <w:r w:rsidR="000F60D0">
        <w:rPr>
          <w:noProof/>
        </w:rPr>
        <w:fldChar w:fldCharType="begin"/>
      </w:r>
      <w:r w:rsidR="00285C33">
        <w:rPr>
          <w:noProof/>
        </w:rPr>
        <w:instrText xml:space="preserve"> SEQ Tableau \* ARABIC </w:instrText>
      </w:r>
      <w:r w:rsidR="000F60D0">
        <w:rPr>
          <w:noProof/>
        </w:rPr>
        <w:fldChar w:fldCharType="separate"/>
      </w:r>
      <w:r>
        <w:rPr>
          <w:noProof/>
        </w:rPr>
        <w:t>3</w:t>
      </w:r>
      <w:r w:rsidR="000F60D0">
        <w:rPr>
          <w:noProof/>
        </w:rPr>
        <w:fldChar w:fldCharType="end"/>
      </w:r>
      <w:r>
        <w:t xml:space="preserve"> : </w:t>
      </w:r>
      <w:r w:rsidR="002C34D3">
        <w:rPr>
          <w:rFonts w:asciiTheme="minorHAnsi" w:hAnsiTheme="minorHAnsi" w:cstheme="minorHAnsi"/>
          <w:color w:val="FF0000"/>
          <w:sz w:val="24"/>
          <w:szCs w:val="24"/>
          <w:u w:val="single"/>
        </w:rPr>
        <w:t>Tableau comparatif des résultats visés par la PNA avec ceux obtenus </w:t>
      </w:r>
      <w:r w:rsidR="002C34D3">
        <w:rPr>
          <w:rFonts w:asciiTheme="minorHAnsi" w:hAnsiTheme="minorHAnsi" w:cstheme="minorHAnsi"/>
          <w:color w:val="FF0000"/>
          <w:sz w:val="24"/>
          <w:szCs w:val="24"/>
        </w:rPr>
        <w:t>:</w:t>
      </w:r>
    </w:p>
    <w:tbl>
      <w:tblPr>
        <w:tblStyle w:val="Grilledutableau"/>
        <w:tblW w:w="15622" w:type="dxa"/>
        <w:tblInd w:w="-743" w:type="dxa"/>
        <w:tblLook w:val="04A0" w:firstRow="1" w:lastRow="0" w:firstColumn="1" w:lastColumn="0" w:noHBand="0" w:noVBand="1"/>
      </w:tblPr>
      <w:tblGrid>
        <w:gridCol w:w="2439"/>
        <w:gridCol w:w="6804"/>
        <w:gridCol w:w="6379"/>
      </w:tblGrid>
      <w:tr w:rsidR="00CE195C" w:rsidRPr="00A929CE" w:rsidTr="000740B3">
        <w:trPr>
          <w:tblHeader/>
        </w:trPr>
        <w:tc>
          <w:tcPr>
            <w:tcW w:w="9243" w:type="dxa"/>
            <w:gridSpan w:val="2"/>
            <w:shd w:val="clear" w:color="auto" w:fill="BFBFBF" w:themeFill="background1" w:themeFillShade="BF"/>
          </w:tcPr>
          <w:p w:rsidR="00CE195C" w:rsidRPr="00A929CE" w:rsidRDefault="00CE195C" w:rsidP="00A929CE">
            <w:pPr>
              <w:autoSpaceDE w:val="0"/>
              <w:autoSpaceDN w:val="0"/>
              <w:adjustRightInd w:val="0"/>
              <w:spacing w:line="360" w:lineRule="auto"/>
              <w:jc w:val="center"/>
              <w:rPr>
                <w:rFonts w:asciiTheme="minorHAnsi" w:hAnsiTheme="minorHAnsi" w:cs="Tahoma"/>
                <w:sz w:val="24"/>
                <w:szCs w:val="24"/>
              </w:rPr>
            </w:pPr>
            <w:r w:rsidRPr="00A929CE">
              <w:rPr>
                <w:rFonts w:asciiTheme="minorHAnsi" w:hAnsiTheme="minorHAnsi" w:cs="Tahoma"/>
                <w:b/>
                <w:bCs/>
                <w:i/>
                <w:sz w:val="24"/>
                <w:szCs w:val="24"/>
              </w:rPr>
              <w:t>Filière déchets liquides domestiques</w:t>
            </w:r>
          </w:p>
        </w:tc>
        <w:tc>
          <w:tcPr>
            <w:tcW w:w="6379" w:type="dxa"/>
            <w:shd w:val="clear" w:color="auto" w:fill="BFBFBF" w:themeFill="background1" w:themeFillShade="BF"/>
          </w:tcPr>
          <w:p w:rsidR="00CE195C" w:rsidRPr="00A929CE" w:rsidRDefault="00CE195C" w:rsidP="00A929CE">
            <w:pPr>
              <w:autoSpaceDE w:val="0"/>
              <w:autoSpaceDN w:val="0"/>
              <w:adjustRightInd w:val="0"/>
              <w:spacing w:line="360" w:lineRule="auto"/>
              <w:jc w:val="center"/>
              <w:rPr>
                <w:rFonts w:asciiTheme="minorHAnsi" w:hAnsiTheme="minorHAnsi" w:cs="Tahoma"/>
                <w:b/>
                <w:bCs/>
                <w:i/>
                <w:sz w:val="24"/>
                <w:szCs w:val="24"/>
              </w:rPr>
            </w:pPr>
            <w:r w:rsidRPr="00A929CE">
              <w:rPr>
                <w:rFonts w:asciiTheme="minorHAnsi" w:hAnsiTheme="minorHAnsi" w:cs="Tahoma"/>
                <w:b/>
                <w:bCs/>
                <w:i/>
                <w:sz w:val="24"/>
                <w:szCs w:val="24"/>
              </w:rPr>
              <w:t>Situation observée</w:t>
            </w:r>
          </w:p>
        </w:tc>
      </w:tr>
      <w:tr w:rsidR="00CE195C" w:rsidRPr="00A929CE" w:rsidTr="008C046F">
        <w:tc>
          <w:tcPr>
            <w:tcW w:w="2439" w:type="dxa"/>
            <w:shd w:val="clear" w:color="auto" w:fill="BFBFBF" w:themeFill="background1" w:themeFillShade="BF"/>
          </w:tcPr>
          <w:p w:rsidR="00CE195C" w:rsidRPr="00A929CE" w:rsidRDefault="00CE195C" w:rsidP="00A929CE">
            <w:pPr>
              <w:spacing w:line="360" w:lineRule="auto"/>
              <w:jc w:val="both"/>
              <w:rPr>
                <w:rFonts w:asciiTheme="minorHAnsi" w:hAnsiTheme="minorHAnsi" w:cs="Tahoma"/>
                <w:b/>
                <w:bCs/>
                <w:sz w:val="24"/>
                <w:szCs w:val="24"/>
                <w:lang w:eastAsia="en-GB"/>
              </w:rPr>
            </w:pPr>
            <w:r w:rsidRPr="00A929CE">
              <w:rPr>
                <w:rFonts w:asciiTheme="minorHAnsi" w:hAnsiTheme="minorHAnsi" w:cs="Tahoma"/>
                <w:b/>
                <w:bCs/>
                <w:sz w:val="24"/>
                <w:szCs w:val="24"/>
              </w:rPr>
              <w:t>R 1 : Assainissement liquide domestique</w:t>
            </w:r>
          </w:p>
        </w:tc>
        <w:tc>
          <w:tcPr>
            <w:tcW w:w="6804" w:type="dxa"/>
          </w:tcPr>
          <w:p w:rsidR="00CE195C" w:rsidRPr="00DC2972" w:rsidRDefault="00CE195C" w:rsidP="00A929CE">
            <w:pPr>
              <w:autoSpaceDE w:val="0"/>
              <w:autoSpaceDN w:val="0"/>
              <w:adjustRightInd w:val="0"/>
              <w:spacing w:line="360" w:lineRule="auto"/>
              <w:jc w:val="both"/>
              <w:rPr>
                <w:rFonts w:asciiTheme="minorHAnsi" w:hAnsiTheme="minorHAnsi" w:cs="Tahoma"/>
                <w:sz w:val="24"/>
                <w:szCs w:val="24"/>
              </w:rPr>
            </w:pPr>
            <w:r w:rsidRPr="00DC2972">
              <w:rPr>
                <w:rFonts w:asciiTheme="minorHAnsi" w:hAnsiTheme="minorHAnsi" w:cs="Tahoma"/>
                <w:sz w:val="24"/>
                <w:szCs w:val="24"/>
              </w:rPr>
              <w:t>L’accès des ménages à un service d’assainissement liquide adéquat (eaux grises + excréta) est passé de 20% en 2006 à 50% en 2015 et 80% en 2025</w:t>
            </w:r>
          </w:p>
        </w:tc>
        <w:tc>
          <w:tcPr>
            <w:tcW w:w="6379" w:type="dxa"/>
          </w:tcPr>
          <w:p w:rsidR="00097DCB" w:rsidRPr="00A929CE" w:rsidRDefault="00097DCB" w:rsidP="00A929CE">
            <w:pPr>
              <w:autoSpaceDE w:val="0"/>
              <w:autoSpaceDN w:val="0"/>
              <w:adjustRightInd w:val="0"/>
              <w:spacing w:line="360" w:lineRule="auto"/>
              <w:jc w:val="both"/>
              <w:rPr>
                <w:rFonts w:asciiTheme="minorHAnsi" w:hAnsiTheme="minorHAnsi" w:cs="Tahoma"/>
                <w:sz w:val="24"/>
                <w:szCs w:val="24"/>
              </w:rPr>
            </w:pPr>
            <w:r w:rsidRPr="00A929CE">
              <w:rPr>
                <w:rFonts w:asciiTheme="minorHAnsi" w:hAnsiTheme="minorHAnsi" w:cs="Tahoma"/>
                <w:bCs/>
                <w:sz w:val="24"/>
                <w:szCs w:val="24"/>
              </w:rPr>
              <w:t xml:space="preserve">2015 </w:t>
            </w:r>
          </w:p>
          <w:p w:rsidR="00097DCB" w:rsidRPr="00A929CE" w:rsidRDefault="00097DCB" w:rsidP="00A929CE">
            <w:pPr>
              <w:autoSpaceDE w:val="0"/>
              <w:autoSpaceDN w:val="0"/>
              <w:adjustRightInd w:val="0"/>
              <w:spacing w:line="360" w:lineRule="auto"/>
              <w:jc w:val="both"/>
              <w:rPr>
                <w:rFonts w:asciiTheme="minorHAnsi" w:hAnsiTheme="minorHAnsi" w:cs="Tahoma"/>
                <w:sz w:val="24"/>
                <w:szCs w:val="24"/>
              </w:rPr>
            </w:pPr>
            <w:r w:rsidRPr="00A929CE">
              <w:rPr>
                <w:rFonts w:asciiTheme="minorHAnsi" w:hAnsiTheme="minorHAnsi" w:cs="Tahoma"/>
                <w:bCs/>
                <w:sz w:val="24"/>
                <w:szCs w:val="24"/>
              </w:rPr>
              <w:t>(Urbain 46%, Rural 22%)</w:t>
            </w:r>
          </w:p>
          <w:p w:rsidR="00097DCB" w:rsidRPr="00A929CE" w:rsidRDefault="00097DCB" w:rsidP="00A929CE">
            <w:pPr>
              <w:autoSpaceDE w:val="0"/>
              <w:autoSpaceDN w:val="0"/>
              <w:adjustRightInd w:val="0"/>
              <w:spacing w:line="360" w:lineRule="auto"/>
              <w:jc w:val="both"/>
              <w:rPr>
                <w:rFonts w:asciiTheme="minorHAnsi" w:hAnsiTheme="minorHAnsi" w:cs="Tahoma"/>
                <w:sz w:val="24"/>
                <w:szCs w:val="24"/>
              </w:rPr>
            </w:pPr>
            <w:r w:rsidRPr="00A929CE">
              <w:rPr>
                <w:rFonts w:asciiTheme="minorHAnsi" w:hAnsiTheme="minorHAnsi" w:cs="Tahoma"/>
                <w:bCs/>
                <w:sz w:val="24"/>
                <w:szCs w:val="24"/>
              </w:rPr>
              <w:t>15 259/10871LFS</w:t>
            </w:r>
          </w:p>
          <w:p w:rsidR="00097DCB" w:rsidRPr="00A929CE" w:rsidRDefault="00097DCB" w:rsidP="00A929CE">
            <w:pPr>
              <w:autoSpaceDE w:val="0"/>
              <w:autoSpaceDN w:val="0"/>
              <w:adjustRightInd w:val="0"/>
              <w:spacing w:line="360" w:lineRule="auto"/>
              <w:jc w:val="both"/>
              <w:rPr>
                <w:rFonts w:asciiTheme="minorHAnsi" w:hAnsiTheme="minorHAnsi" w:cs="Tahoma"/>
                <w:sz w:val="24"/>
                <w:szCs w:val="24"/>
              </w:rPr>
            </w:pPr>
            <w:r w:rsidRPr="00A929CE">
              <w:rPr>
                <w:rFonts w:asciiTheme="minorHAnsi" w:hAnsiTheme="minorHAnsi" w:cs="Tahoma"/>
                <w:bCs/>
                <w:sz w:val="24"/>
                <w:szCs w:val="24"/>
              </w:rPr>
              <w:t>4389/7725 lavoirs-puisards</w:t>
            </w:r>
          </w:p>
          <w:p w:rsidR="00097DCB" w:rsidRPr="00A929CE" w:rsidRDefault="00097DCB" w:rsidP="00A929CE">
            <w:pPr>
              <w:autoSpaceDE w:val="0"/>
              <w:autoSpaceDN w:val="0"/>
              <w:adjustRightInd w:val="0"/>
              <w:spacing w:line="360" w:lineRule="auto"/>
              <w:jc w:val="both"/>
              <w:rPr>
                <w:rFonts w:asciiTheme="minorHAnsi" w:hAnsiTheme="minorHAnsi" w:cs="Tahoma"/>
                <w:sz w:val="24"/>
                <w:szCs w:val="24"/>
              </w:rPr>
            </w:pPr>
            <w:r w:rsidRPr="00A929CE">
              <w:rPr>
                <w:rFonts w:asciiTheme="minorHAnsi" w:hAnsiTheme="minorHAnsi" w:cs="Tahoma"/>
                <w:bCs/>
                <w:sz w:val="24"/>
                <w:szCs w:val="24"/>
              </w:rPr>
              <w:t>National</w:t>
            </w:r>
            <w:r w:rsidRPr="00A929CE">
              <w:rPr>
                <w:rFonts w:asciiTheme="minorHAnsi" w:hAnsiTheme="minorHAnsi" w:cs="Tahoma"/>
                <w:bCs/>
                <w:sz w:val="24"/>
                <w:szCs w:val="24"/>
              </w:rPr>
              <w:tab/>
              <w:t xml:space="preserve">31% </w:t>
            </w:r>
          </w:p>
          <w:p w:rsidR="00097DCB" w:rsidRPr="00A929CE" w:rsidRDefault="00097DCB" w:rsidP="00A929CE">
            <w:pPr>
              <w:autoSpaceDE w:val="0"/>
              <w:autoSpaceDN w:val="0"/>
              <w:adjustRightInd w:val="0"/>
              <w:spacing w:line="360" w:lineRule="auto"/>
              <w:jc w:val="both"/>
              <w:rPr>
                <w:rFonts w:asciiTheme="minorHAnsi" w:hAnsiTheme="minorHAnsi" w:cs="Tahoma"/>
                <w:sz w:val="24"/>
                <w:szCs w:val="24"/>
              </w:rPr>
            </w:pPr>
            <w:r w:rsidRPr="00A929CE">
              <w:rPr>
                <w:rFonts w:asciiTheme="minorHAnsi" w:hAnsiTheme="minorHAnsi" w:cs="Tahoma"/>
                <w:bCs/>
                <w:sz w:val="24"/>
                <w:szCs w:val="24"/>
              </w:rPr>
              <w:t>4 stations de traitement des eaux usées domestiques (Mopti, Tombouctou, Cité Administrative Bamako</w:t>
            </w:r>
          </w:p>
          <w:p w:rsidR="00097DCB" w:rsidRPr="00A929CE" w:rsidRDefault="00097DCB" w:rsidP="00A929CE">
            <w:pPr>
              <w:autoSpaceDE w:val="0"/>
              <w:autoSpaceDN w:val="0"/>
              <w:adjustRightInd w:val="0"/>
              <w:spacing w:line="360" w:lineRule="auto"/>
              <w:jc w:val="both"/>
              <w:rPr>
                <w:rFonts w:asciiTheme="minorHAnsi" w:hAnsiTheme="minorHAnsi" w:cs="Tahoma"/>
                <w:sz w:val="24"/>
                <w:szCs w:val="24"/>
              </w:rPr>
            </w:pPr>
            <w:r w:rsidRPr="00A929CE">
              <w:rPr>
                <w:rFonts w:asciiTheme="minorHAnsi" w:hAnsiTheme="minorHAnsi" w:cs="Tahoma"/>
                <w:bCs/>
                <w:sz w:val="24"/>
                <w:szCs w:val="24"/>
              </w:rPr>
              <w:t>Aéroport Modibo KEITA</w:t>
            </w:r>
          </w:p>
          <w:p w:rsidR="00097DCB" w:rsidRPr="006E0389" w:rsidRDefault="00097DCB" w:rsidP="00A929CE">
            <w:pPr>
              <w:autoSpaceDE w:val="0"/>
              <w:autoSpaceDN w:val="0"/>
              <w:adjustRightInd w:val="0"/>
              <w:spacing w:line="360" w:lineRule="auto"/>
              <w:jc w:val="both"/>
              <w:rPr>
                <w:rFonts w:asciiTheme="minorHAnsi" w:hAnsiTheme="minorHAnsi" w:cs="Tahoma"/>
                <w:b/>
                <w:sz w:val="24"/>
                <w:szCs w:val="24"/>
                <w:u w:val="single"/>
              </w:rPr>
            </w:pPr>
            <w:r w:rsidRPr="006E0389">
              <w:rPr>
                <w:rFonts w:asciiTheme="minorHAnsi" w:hAnsiTheme="minorHAnsi" w:cs="Tahoma"/>
                <w:b/>
                <w:bCs/>
                <w:sz w:val="24"/>
                <w:szCs w:val="24"/>
                <w:u w:val="single"/>
              </w:rPr>
              <w:t>Cible non atteint</w:t>
            </w:r>
            <w:r w:rsidR="00DC2972">
              <w:rPr>
                <w:rFonts w:asciiTheme="minorHAnsi" w:hAnsiTheme="minorHAnsi" w:cs="Tahoma"/>
                <w:b/>
                <w:bCs/>
                <w:sz w:val="24"/>
                <w:szCs w:val="24"/>
                <w:u w:val="single"/>
              </w:rPr>
              <w:t>e</w:t>
            </w:r>
          </w:p>
          <w:p w:rsidR="00CE195C" w:rsidRPr="00A929CE" w:rsidRDefault="00CE195C" w:rsidP="00A929CE">
            <w:pPr>
              <w:autoSpaceDE w:val="0"/>
              <w:autoSpaceDN w:val="0"/>
              <w:adjustRightInd w:val="0"/>
              <w:spacing w:line="360" w:lineRule="auto"/>
              <w:jc w:val="both"/>
              <w:rPr>
                <w:rFonts w:asciiTheme="minorHAnsi" w:hAnsiTheme="minorHAnsi" w:cs="Tahoma"/>
                <w:color w:val="FF0000"/>
                <w:sz w:val="24"/>
                <w:szCs w:val="24"/>
              </w:rPr>
            </w:pPr>
          </w:p>
        </w:tc>
      </w:tr>
      <w:tr w:rsidR="00CE195C" w:rsidRPr="00A929CE" w:rsidTr="000740B3">
        <w:tc>
          <w:tcPr>
            <w:tcW w:w="2439" w:type="dxa"/>
            <w:tcBorders>
              <w:bottom w:val="single" w:sz="4" w:space="0" w:color="auto"/>
            </w:tcBorders>
            <w:shd w:val="clear" w:color="auto" w:fill="BFBFBF" w:themeFill="background1" w:themeFillShade="BF"/>
          </w:tcPr>
          <w:p w:rsidR="00CE195C" w:rsidRPr="00A929CE" w:rsidRDefault="00CE195C" w:rsidP="00A929CE">
            <w:pPr>
              <w:spacing w:line="360" w:lineRule="auto"/>
              <w:jc w:val="both"/>
              <w:rPr>
                <w:rFonts w:asciiTheme="minorHAnsi" w:hAnsiTheme="minorHAnsi" w:cs="Tahoma"/>
                <w:b/>
                <w:bCs/>
                <w:sz w:val="24"/>
                <w:szCs w:val="24"/>
                <w:lang w:eastAsia="en-GB"/>
              </w:rPr>
            </w:pPr>
            <w:r w:rsidRPr="00A929CE">
              <w:rPr>
                <w:rFonts w:asciiTheme="minorHAnsi" w:hAnsiTheme="minorHAnsi" w:cs="Tahoma"/>
                <w:b/>
                <w:bCs/>
                <w:sz w:val="24"/>
                <w:szCs w:val="24"/>
              </w:rPr>
              <w:t>R 2 : Equipement des lieux publics</w:t>
            </w:r>
          </w:p>
        </w:tc>
        <w:tc>
          <w:tcPr>
            <w:tcW w:w="6804" w:type="dxa"/>
            <w:tcBorders>
              <w:bottom w:val="single" w:sz="4" w:space="0" w:color="auto"/>
            </w:tcBorders>
          </w:tcPr>
          <w:p w:rsidR="00CE195C" w:rsidRPr="00A929CE" w:rsidRDefault="00CE195C" w:rsidP="00A929CE">
            <w:pPr>
              <w:autoSpaceDE w:val="0"/>
              <w:autoSpaceDN w:val="0"/>
              <w:adjustRightInd w:val="0"/>
              <w:spacing w:line="360" w:lineRule="auto"/>
              <w:jc w:val="both"/>
              <w:rPr>
                <w:rFonts w:asciiTheme="minorHAnsi" w:hAnsiTheme="minorHAnsi" w:cs="Tahoma"/>
                <w:sz w:val="24"/>
                <w:szCs w:val="24"/>
              </w:rPr>
            </w:pPr>
            <w:r w:rsidRPr="00A929CE">
              <w:rPr>
                <w:rFonts w:asciiTheme="minorHAnsi" w:hAnsiTheme="minorHAnsi" w:cs="Tahoma"/>
                <w:sz w:val="24"/>
                <w:szCs w:val="24"/>
              </w:rPr>
              <w:t>L’objectif de 50% doit être atteint en 2015 au plus tard</w:t>
            </w:r>
          </w:p>
        </w:tc>
        <w:tc>
          <w:tcPr>
            <w:tcW w:w="6379" w:type="dxa"/>
            <w:tcBorders>
              <w:bottom w:val="single" w:sz="4" w:space="0" w:color="auto"/>
            </w:tcBorders>
          </w:tcPr>
          <w:p w:rsidR="00097DCB" w:rsidRPr="00A929CE" w:rsidRDefault="00097DCB" w:rsidP="00A929CE">
            <w:pPr>
              <w:autoSpaceDE w:val="0"/>
              <w:autoSpaceDN w:val="0"/>
              <w:adjustRightInd w:val="0"/>
              <w:spacing w:line="360" w:lineRule="auto"/>
              <w:jc w:val="both"/>
              <w:rPr>
                <w:rFonts w:asciiTheme="minorHAnsi" w:hAnsiTheme="minorHAnsi" w:cs="Tahoma"/>
                <w:sz w:val="24"/>
                <w:szCs w:val="24"/>
              </w:rPr>
            </w:pPr>
            <w:r w:rsidRPr="00A929CE">
              <w:rPr>
                <w:rFonts w:asciiTheme="minorHAnsi" w:hAnsiTheme="minorHAnsi" w:cs="Tahoma"/>
                <w:b/>
                <w:bCs/>
                <w:sz w:val="24"/>
                <w:szCs w:val="24"/>
                <w:u w:val="single"/>
              </w:rPr>
              <w:t>572</w:t>
            </w:r>
            <w:r w:rsidRPr="00A929CE">
              <w:rPr>
                <w:rFonts w:asciiTheme="minorHAnsi" w:hAnsiTheme="minorHAnsi" w:cs="Tahoma"/>
                <w:sz w:val="24"/>
                <w:szCs w:val="24"/>
                <w:u w:val="single"/>
              </w:rPr>
              <w:t>/973 Blocs de Latrines Publiques</w:t>
            </w:r>
          </w:p>
          <w:p w:rsidR="00097DCB" w:rsidRPr="00A929CE" w:rsidRDefault="00097DCB" w:rsidP="00A929CE">
            <w:pPr>
              <w:autoSpaceDE w:val="0"/>
              <w:autoSpaceDN w:val="0"/>
              <w:adjustRightInd w:val="0"/>
              <w:spacing w:line="360" w:lineRule="auto"/>
              <w:jc w:val="both"/>
              <w:rPr>
                <w:rFonts w:asciiTheme="minorHAnsi" w:hAnsiTheme="minorHAnsi" w:cs="Tahoma"/>
                <w:sz w:val="24"/>
                <w:szCs w:val="24"/>
              </w:rPr>
            </w:pPr>
            <w:r w:rsidRPr="00A929CE">
              <w:rPr>
                <w:rFonts w:asciiTheme="minorHAnsi" w:hAnsiTheme="minorHAnsi" w:cs="Tahoma"/>
                <w:sz w:val="24"/>
                <w:szCs w:val="24"/>
                <w:u w:val="single"/>
              </w:rPr>
              <w:t>58,78%</w:t>
            </w:r>
          </w:p>
          <w:p w:rsidR="00097DCB" w:rsidRPr="00A929CE" w:rsidRDefault="00097DCB" w:rsidP="00A929CE">
            <w:pPr>
              <w:autoSpaceDE w:val="0"/>
              <w:autoSpaceDN w:val="0"/>
              <w:adjustRightInd w:val="0"/>
              <w:spacing w:line="360" w:lineRule="auto"/>
              <w:jc w:val="both"/>
              <w:rPr>
                <w:rFonts w:asciiTheme="minorHAnsi" w:hAnsiTheme="minorHAnsi" w:cs="Tahoma"/>
                <w:sz w:val="24"/>
                <w:szCs w:val="24"/>
              </w:rPr>
            </w:pPr>
            <w:r w:rsidRPr="00A929CE">
              <w:rPr>
                <w:rFonts w:asciiTheme="minorHAnsi" w:hAnsiTheme="minorHAnsi" w:cs="Tahoma"/>
                <w:b/>
                <w:bCs/>
                <w:sz w:val="24"/>
                <w:szCs w:val="24"/>
                <w:u w:val="single"/>
              </w:rPr>
              <w:t xml:space="preserve">Cible </w:t>
            </w:r>
            <w:r w:rsidR="00DC2972">
              <w:rPr>
                <w:rFonts w:asciiTheme="minorHAnsi" w:hAnsiTheme="minorHAnsi" w:cs="Tahoma"/>
                <w:b/>
                <w:bCs/>
                <w:sz w:val="24"/>
                <w:szCs w:val="24"/>
                <w:u w:val="single"/>
              </w:rPr>
              <w:t xml:space="preserve">très </w:t>
            </w:r>
            <w:r w:rsidRPr="00A929CE">
              <w:rPr>
                <w:rFonts w:asciiTheme="minorHAnsi" w:hAnsiTheme="minorHAnsi" w:cs="Tahoma"/>
                <w:b/>
                <w:bCs/>
                <w:sz w:val="24"/>
                <w:szCs w:val="24"/>
                <w:u w:val="single"/>
              </w:rPr>
              <w:t>partiellement atteint</w:t>
            </w:r>
          </w:p>
          <w:p w:rsidR="00CE195C" w:rsidRPr="00A929CE" w:rsidRDefault="00CE195C" w:rsidP="00A929CE">
            <w:pPr>
              <w:autoSpaceDE w:val="0"/>
              <w:autoSpaceDN w:val="0"/>
              <w:adjustRightInd w:val="0"/>
              <w:spacing w:line="360" w:lineRule="auto"/>
              <w:jc w:val="both"/>
              <w:rPr>
                <w:rFonts w:asciiTheme="minorHAnsi" w:hAnsiTheme="minorHAnsi" w:cs="Tahoma"/>
                <w:sz w:val="24"/>
                <w:szCs w:val="24"/>
              </w:rPr>
            </w:pPr>
          </w:p>
        </w:tc>
      </w:tr>
      <w:tr w:rsidR="00CE195C" w:rsidRPr="00A929CE" w:rsidTr="000740B3">
        <w:tc>
          <w:tcPr>
            <w:tcW w:w="2439" w:type="dxa"/>
            <w:tcBorders>
              <w:bottom w:val="single" w:sz="4" w:space="0" w:color="auto"/>
            </w:tcBorders>
            <w:shd w:val="clear" w:color="auto" w:fill="BFBFBF" w:themeFill="background1" w:themeFillShade="BF"/>
          </w:tcPr>
          <w:p w:rsidR="00CE195C" w:rsidRPr="00A929CE" w:rsidRDefault="00CE195C" w:rsidP="00A929CE">
            <w:pPr>
              <w:spacing w:line="360" w:lineRule="auto"/>
              <w:jc w:val="both"/>
              <w:rPr>
                <w:rFonts w:asciiTheme="minorHAnsi" w:hAnsiTheme="minorHAnsi" w:cs="Tahoma"/>
                <w:b/>
                <w:bCs/>
                <w:sz w:val="24"/>
                <w:szCs w:val="24"/>
                <w:lang w:eastAsia="en-GB"/>
              </w:rPr>
            </w:pPr>
            <w:r w:rsidRPr="00A929CE">
              <w:rPr>
                <w:rFonts w:asciiTheme="minorHAnsi" w:hAnsiTheme="minorHAnsi" w:cs="Tahoma"/>
                <w:b/>
                <w:bCs/>
                <w:sz w:val="24"/>
                <w:szCs w:val="24"/>
              </w:rPr>
              <w:t>R3 : Gestion des boues de vidange</w:t>
            </w:r>
          </w:p>
        </w:tc>
        <w:tc>
          <w:tcPr>
            <w:tcW w:w="6804" w:type="dxa"/>
            <w:tcBorders>
              <w:bottom w:val="single" w:sz="4" w:space="0" w:color="auto"/>
            </w:tcBorders>
          </w:tcPr>
          <w:p w:rsidR="00CE195C" w:rsidRPr="00A929CE" w:rsidRDefault="00CE195C" w:rsidP="00A929CE">
            <w:pPr>
              <w:autoSpaceDE w:val="0"/>
              <w:autoSpaceDN w:val="0"/>
              <w:adjustRightInd w:val="0"/>
              <w:spacing w:line="360" w:lineRule="auto"/>
              <w:jc w:val="both"/>
              <w:rPr>
                <w:rFonts w:asciiTheme="minorHAnsi" w:hAnsiTheme="minorHAnsi" w:cs="Tahoma"/>
                <w:sz w:val="24"/>
                <w:szCs w:val="24"/>
              </w:rPr>
            </w:pPr>
            <w:r w:rsidRPr="00A929CE">
              <w:rPr>
                <w:rFonts w:asciiTheme="minorHAnsi" w:hAnsiTheme="minorHAnsi" w:cs="Tahoma"/>
                <w:sz w:val="24"/>
                <w:szCs w:val="24"/>
              </w:rPr>
              <w:t>Des sites adéquats sont équipés pour entreposer et traiter les boues de vidange dans toutes les villes de plus de 50.000 habitants au plus tard en 2015, et dans toutes les villes de plus de 25.000 habitants avant 2025</w:t>
            </w:r>
          </w:p>
        </w:tc>
        <w:tc>
          <w:tcPr>
            <w:tcW w:w="6379" w:type="dxa"/>
            <w:tcBorders>
              <w:bottom w:val="single" w:sz="4" w:space="0" w:color="auto"/>
            </w:tcBorders>
          </w:tcPr>
          <w:p w:rsidR="00097DCB" w:rsidRPr="00A929CE" w:rsidRDefault="00097DCB" w:rsidP="00A929CE">
            <w:pPr>
              <w:autoSpaceDE w:val="0"/>
              <w:autoSpaceDN w:val="0"/>
              <w:adjustRightInd w:val="0"/>
              <w:spacing w:line="360" w:lineRule="auto"/>
              <w:jc w:val="both"/>
              <w:rPr>
                <w:rFonts w:asciiTheme="minorHAnsi" w:hAnsiTheme="minorHAnsi" w:cs="Tahoma"/>
                <w:sz w:val="24"/>
                <w:szCs w:val="24"/>
              </w:rPr>
            </w:pPr>
            <w:r w:rsidRPr="00A929CE">
              <w:rPr>
                <w:rFonts w:asciiTheme="minorHAnsi" w:hAnsiTheme="minorHAnsi" w:cs="Tahoma"/>
                <w:bCs/>
                <w:sz w:val="24"/>
                <w:szCs w:val="24"/>
              </w:rPr>
              <w:t>Aucun site de stockage et de traitement équipé (dépotage) des boues de vidange n’existe</w:t>
            </w:r>
          </w:p>
          <w:p w:rsidR="00097DCB" w:rsidRPr="006E0389" w:rsidRDefault="00097DCB" w:rsidP="00A929CE">
            <w:pPr>
              <w:autoSpaceDE w:val="0"/>
              <w:autoSpaceDN w:val="0"/>
              <w:adjustRightInd w:val="0"/>
              <w:spacing w:line="360" w:lineRule="auto"/>
              <w:jc w:val="both"/>
              <w:rPr>
                <w:rFonts w:asciiTheme="minorHAnsi" w:hAnsiTheme="minorHAnsi" w:cs="Tahoma"/>
                <w:b/>
                <w:sz w:val="24"/>
                <w:szCs w:val="24"/>
                <w:u w:val="single"/>
              </w:rPr>
            </w:pPr>
            <w:r w:rsidRPr="006E0389">
              <w:rPr>
                <w:rFonts w:asciiTheme="minorHAnsi" w:hAnsiTheme="minorHAnsi" w:cs="Tahoma"/>
                <w:b/>
                <w:bCs/>
                <w:sz w:val="24"/>
                <w:szCs w:val="24"/>
                <w:u w:val="single"/>
              </w:rPr>
              <w:t>Cible non atteint</w:t>
            </w:r>
            <w:r w:rsidR="00DC2972">
              <w:rPr>
                <w:rFonts w:asciiTheme="minorHAnsi" w:hAnsiTheme="minorHAnsi" w:cs="Tahoma"/>
                <w:b/>
                <w:bCs/>
                <w:sz w:val="24"/>
                <w:szCs w:val="24"/>
                <w:u w:val="single"/>
              </w:rPr>
              <w:t>e</w:t>
            </w:r>
          </w:p>
          <w:p w:rsidR="00CE195C" w:rsidRPr="00A929CE" w:rsidRDefault="00CE195C" w:rsidP="00A929CE">
            <w:pPr>
              <w:autoSpaceDE w:val="0"/>
              <w:autoSpaceDN w:val="0"/>
              <w:adjustRightInd w:val="0"/>
              <w:spacing w:line="360" w:lineRule="auto"/>
              <w:jc w:val="both"/>
              <w:rPr>
                <w:rFonts w:asciiTheme="minorHAnsi" w:hAnsiTheme="minorHAnsi" w:cs="Tahoma"/>
                <w:b/>
                <w:color w:val="FF0000"/>
                <w:sz w:val="24"/>
                <w:szCs w:val="24"/>
              </w:rPr>
            </w:pPr>
          </w:p>
        </w:tc>
      </w:tr>
      <w:tr w:rsidR="000740B3" w:rsidRPr="00A929CE" w:rsidTr="000740B3">
        <w:tc>
          <w:tcPr>
            <w:tcW w:w="9243" w:type="dxa"/>
            <w:gridSpan w:val="2"/>
            <w:tcBorders>
              <w:top w:val="single" w:sz="4" w:space="0" w:color="auto"/>
              <w:left w:val="nil"/>
              <w:bottom w:val="nil"/>
              <w:right w:val="nil"/>
            </w:tcBorders>
            <w:shd w:val="clear" w:color="auto" w:fill="auto"/>
          </w:tcPr>
          <w:p w:rsidR="000740B3" w:rsidRPr="00A929CE" w:rsidRDefault="000740B3" w:rsidP="00A929CE">
            <w:pPr>
              <w:spacing w:line="360" w:lineRule="auto"/>
              <w:jc w:val="center"/>
              <w:rPr>
                <w:rFonts w:asciiTheme="minorHAnsi" w:hAnsiTheme="minorHAnsi" w:cs="Tahoma"/>
                <w:b/>
                <w:bCs/>
                <w:i/>
                <w:sz w:val="24"/>
                <w:szCs w:val="24"/>
              </w:rPr>
            </w:pPr>
          </w:p>
        </w:tc>
        <w:tc>
          <w:tcPr>
            <w:tcW w:w="6379" w:type="dxa"/>
            <w:tcBorders>
              <w:top w:val="single" w:sz="4" w:space="0" w:color="auto"/>
              <w:left w:val="nil"/>
              <w:bottom w:val="nil"/>
              <w:right w:val="nil"/>
            </w:tcBorders>
            <w:shd w:val="clear" w:color="auto" w:fill="auto"/>
          </w:tcPr>
          <w:p w:rsidR="000740B3" w:rsidRPr="00A929CE" w:rsidRDefault="000740B3" w:rsidP="00A929CE">
            <w:pPr>
              <w:spacing w:line="360" w:lineRule="auto"/>
              <w:jc w:val="center"/>
              <w:rPr>
                <w:rFonts w:asciiTheme="minorHAnsi" w:hAnsiTheme="minorHAnsi" w:cs="Tahoma"/>
                <w:b/>
                <w:bCs/>
                <w:i/>
                <w:sz w:val="24"/>
                <w:szCs w:val="24"/>
              </w:rPr>
            </w:pPr>
          </w:p>
        </w:tc>
      </w:tr>
      <w:tr w:rsidR="000740B3" w:rsidRPr="00A929CE" w:rsidTr="000740B3">
        <w:tc>
          <w:tcPr>
            <w:tcW w:w="9243" w:type="dxa"/>
            <w:gridSpan w:val="2"/>
            <w:tcBorders>
              <w:top w:val="nil"/>
              <w:left w:val="nil"/>
              <w:bottom w:val="nil"/>
              <w:right w:val="nil"/>
            </w:tcBorders>
            <w:shd w:val="clear" w:color="auto" w:fill="auto"/>
          </w:tcPr>
          <w:p w:rsidR="000740B3" w:rsidRPr="00A929CE" w:rsidRDefault="000740B3" w:rsidP="00A929CE">
            <w:pPr>
              <w:spacing w:line="360" w:lineRule="auto"/>
              <w:jc w:val="center"/>
              <w:rPr>
                <w:rFonts w:asciiTheme="minorHAnsi" w:hAnsiTheme="minorHAnsi" w:cs="Tahoma"/>
                <w:b/>
                <w:bCs/>
                <w:i/>
                <w:sz w:val="24"/>
                <w:szCs w:val="24"/>
              </w:rPr>
            </w:pPr>
          </w:p>
        </w:tc>
        <w:tc>
          <w:tcPr>
            <w:tcW w:w="6379" w:type="dxa"/>
            <w:tcBorders>
              <w:top w:val="nil"/>
              <w:left w:val="nil"/>
              <w:bottom w:val="nil"/>
              <w:right w:val="nil"/>
            </w:tcBorders>
            <w:shd w:val="clear" w:color="auto" w:fill="auto"/>
          </w:tcPr>
          <w:p w:rsidR="000740B3" w:rsidRPr="00A929CE" w:rsidRDefault="000740B3" w:rsidP="00A929CE">
            <w:pPr>
              <w:spacing w:line="360" w:lineRule="auto"/>
              <w:jc w:val="center"/>
              <w:rPr>
                <w:rFonts w:asciiTheme="minorHAnsi" w:hAnsiTheme="minorHAnsi" w:cs="Tahoma"/>
                <w:b/>
                <w:bCs/>
                <w:i/>
                <w:sz w:val="24"/>
                <w:szCs w:val="24"/>
              </w:rPr>
            </w:pPr>
          </w:p>
        </w:tc>
      </w:tr>
      <w:tr w:rsidR="00CE195C" w:rsidRPr="00A929CE" w:rsidTr="000740B3">
        <w:tc>
          <w:tcPr>
            <w:tcW w:w="9243" w:type="dxa"/>
            <w:gridSpan w:val="2"/>
            <w:tcBorders>
              <w:top w:val="nil"/>
            </w:tcBorders>
            <w:shd w:val="clear" w:color="auto" w:fill="BFBFBF" w:themeFill="background1" w:themeFillShade="BF"/>
          </w:tcPr>
          <w:p w:rsidR="00CE195C" w:rsidRPr="00A929CE" w:rsidRDefault="00CE195C" w:rsidP="00A929CE">
            <w:pPr>
              <w:spacing w:line="360" w:lineRule="auto"/>
              <w:jc w:val="center"/>
              <w:rPr>
                <w:rFonts w:asciiTheme="minorHAnsi" w:hAnsiTheme="minorHAnsi" w:cs="Tahoma"/>
                <w:b/>
                <w:bCs/>
                <w:i/>
                <w:sz w:val="24"/>
                <w:szCs w:val="24"/>
                <w:lang w:eastAsia="en-GB"/>
              </w:rPr>
            </w:pPr>
            <w:r w:rsidRPr="00A929CE">
              <w:rPr>
                <w:rFonts w:asciiTheme="minorHAnsi" w:hAnsiTheme="minorHAnsi" w:cs="Tahoma"/>
                <w:b/>
                <w:bCs/>
                <w:i/>
                <w:sz w:val="24"/>
                <w:szCs w:val="24"/>
              </w:rPr>
              <w:t>Filière déchets solides domestiques</w:t>
            </w:r>
          </w:p>
        </w:tc>
        <w:tc>
          <w:tcPr>
            <w:tcW w:w="6379" w:type="dxa"/>
            <w:tcBorders>
              <w:top w:val="nil"/>
            </w:tcBorders>
            <w:shd w:val="clear" w:color="auto" w:fill="BFBFBF" w:themeFill="background1" w:themeFillShade="BF"/>
          </w:tcPr>
          <w:p w:rsidR="00CE195C" w:rsidRPr="00A929CE" w:rsidRDefault="00CE195C" w:rsidP="00A929CE">
            <w:pPr>
              <w:spacing w:line="360" w:lineRule="auto"/>
              <w:jc w:val="center"/>
              <w:rPr>
                <w:rFonts w:asciiTheme="minorHAnsi" w:hAnsiTheme="minorHAnsi" w:cs="Tahoma"/>
                <w:b/>
                <w:bCs/>
                <w:i/>
                <w:sz w:val="24"/>
                <w:szCs w:val="24"/>
              </w:rPr>
            </w:pPr>
          </w:p>
        </w:tc>
      </w:tr>
      <w:tr w:rsidR="00CE195C" w:rsidRPr="00A929CE" w:rsidTr="008C046F">
        <w:trPr>
          <w:trHeight w:val="571"/>
        </w:trPr>
        <w:tc>
          <w:tcPr>
            <w:tcW w:w="2439" w:type="dxa"/>
            <w:shd w:val="clear" w:color="auto" w:fill="BFBFBF" w:themeFill="background1" w:themeFillShade="BF"/>
          </w:tcPr>
          <w:p w:rsidR="00CE195C" w:rsidRPr="00A929CE" w:rsidRDefault="00CE195C" w:rsidP="00A929CE">
            <w:pPr>
              <w:spacing w:line="360" w:lineRule="auto"/>
              <w:rPr>
                <w:rFonts w:asciiTheme="minorHAnsi" w:hAnsiTheme="minorHAnsi" w:cs="Tahoma"/>
                <w:b/>
                <w:bCs/>
                <w:sz w:val="24"/>
                <w:szCs w:val="24"/>
                <w:lang w:eastAsia="en-GB"/>
              </w:rPr>
            </w:pPr>
            <w:r w:rsidRPr="00A929CE">
              <w:rPr>
                <w:rFonts w:asciiTheme="minorHAnsi" w:hAnsiTheme="minorHAnsi" w:cs="Tahoma"/>
                <w:b/>
                <w:bCs/>
                <w:sz w:val="24"/>
                <w:szCs w:val="24"/>
              </w:rPr>
              <w:t>R 4 : Conditionnement</w:t>
            </w:r>
          </w:p>
        </w:tc>
        <w:tc>
          <w:tcPr>
            <w:tcW w:w="6804" w:type="dxa"/>
          </w:tcPr>
          <w:p w:rsidR="00CE195C" w:rsidRPr="00A929CE" w:rsidRDefault="00CE195C" w:rsidP="00A929CE">
            <w:pPr>
              <w:spacing w:line="360" w:lineRule="auto"/>
              <w:rPr>
                <w:rFonts w:asciiTheme="minorHAnsi" w:hAnsiTheme="minorHAnsi" w:cs="Tahoma"/>
                <w:b/>
                <w:bCs/>
                <w:sz w:val="24"/>
                <w:szCs w:val="24"/>
                <w:lang w:eastAsia="en-GB"/>
              </w:rPr>
            </w:pPr>
            <w:r w:rsidRPr="00A929CE">
              <w:rPr>
                <w:rFonts w:asciiTheme="minorHAnsi" w:hAnsiTheme="minorHAnsi" w:cs="Tahoma"/>
                <w:sz w:val="24"/>
                <w:szCs w:val="24"/>
              </w:rPr>
              <w:t>Toutes les concessions sont équipées d’une poubelle avant 2015</w:t>
            </w:r>
          </w:p>
        </w:tc>
        <w:tc>
          <w:tcPr>
            <w:tcW w:w="6379" w:type="dxa"/>
          </w:tcPr>
          <w:p w:rsidR="00097DCB" w:rsidRDefault="00097DCB" w:rsidP="00A929CE">
            <w:pPr>
              <w:spacing w:line="360" w:lineRule="auto"/>
              <w:rPr>
                <w:rFonts w:asciiTheme="minorHAnsi" w:hAnsiTheme="minorHAnsi" w:cs="Tahoma"/>
                <w:bCs/>
                <w:sz w:val="24"/>
                <w:szCs w:val="24"/>
              </w:rPr>
            </w:pPr>
            <w:r w:rsidRPr="00A929CE">
              <w:rPr>
                <w:rFonts w:asciiTheme="minorHAnsi" w:hAnsiTheme="minorHAnsi" w:cs="Tahoma"/>
                <w:bCs/>
                <w:sz w:val="24"/>
                <w:szCs w:val="24"/>
              </w:rPr>
              <w:t>Toutes les concessions au Mali ne disposent pas de poubelles, voire, de poubelles réglementaires</w:t>
            </w:r>
          </w:p>
          <w:p w:rsidR="00DC2972" w:rsidRPr="006E0389" w:rsidRDefault="00DC2972" w:rsidP="00A929CE">
            <w:pPr>
              <w:spacing w:line="360" w:lineRule="auto"/>
              <w:rPr>
                <w:rFonts w:asciiTheme="minorHAnsi" w:hAnsiTheme="minorHAnsi" w:cs="Tahoma"/>
                <w:b/>
                <w:sz w:val="24"/>
                <w:szCs w:val="24"/>
                <w:u w:val="single"/>
              </w:rPr>
            </w:pPr>
            <w:r w:rsidRPr="006E0389">
              <w:rPr>
                <w:rFonts w:asciiTheme="minorHAnsi" w:hAnsiTheme="minorHAnsi" w:cs="Tahoma"/>
                <w:b/>
                <w:bCs/>
                <w:sz w:val="24"/>
                <w:szCs w:val="24"/>
                <w:u w:val="single"/>
              </w:rPr>
              <w:t>Cible pas atteinte</w:t>
            </w:r>
          </w:p>
          <w:p w:rsidR="00CE195C" w:rsidRPr="00A929CE" w:rsidRDefault="00CE195C" w:rsidP="00A929CE">
            <w:pPr>
              <w:spacing w:line="360" w:lineRule="auto"/>
              <w:rPr>
                <w:rFonts w:asciiTheme="minorHAnsi" w:hAnsiTheme="minorHAnsi" w:cs="Tahoma"/>
                <w:sz w:val="24"/>
                <w:szCs w:val="24"/>
              </w:rPr>
            </w:pPr>
          </w:p>
        </w:tc>
      </w:tr>
      <w:tr w:rsidR="00CE195C" w:rsidRPr="00A929CE" w:rsidTr="008C046F">
        <w:tc>
          <w:tcPr>
            <w:tcW w:w="2439" w:type="dxa"/>
            <w:shd w:val="clear" w:color="auto" w:fill="BFBFBF" w:themeFill="background1" w:themeFillShade="BF"/>
          </w:tcPr>
          <w:p w:rsidR="00CE195C" w:rsidRPr="00A929CE" w:rsidRDefault="00CE195C" w:rsidP="00A929CE">
            <w:pPr>
              <w:spacing w:line="360" w:lineRule="auto"/>
              <w:jc w:val="both"/>
              <w:rPr>
                <w:rFonts w:asciiTheme="minorHAnsi" w:hAnsiTheme="minorHAnsi" w:cs="Tahoma"/>
                <w:b/>
                <w:bCs/>
                <w:sz w:val="24"/>
                <w:szCs w:val="24"/>
                <w:lang w:eastAsia="en-GB"/>
              </w:rPr>
            </w:pPr>
            <w:r w:rsidRPr="00A929CE">
              <w:rPr>
                <w:rFonts w:asciiTheme="minorHAnsi" w:hAnsiTheme="minorHAnsi" w:cs="Tahoma"/>
                <w:b/>
                <w:bCs/>
                <w:sz w:val="24"/>
                <w:szCs w:val="24"/>
              </w:rPr>
              <w:t>R5 : Pré-collecte</w:t>
            </w:r>
          </w:p>
        </w:tc>
        <w:tc>
          <w:tcPr>
            <w:tcW w:w="6804" w:type="dxa"/>
          </w:tcPr>
          <w:p w:rsidR="00CE195C" w:rsidRPr="00A929CE" w:rsidRDefault="00CE195C" w:rsidP="00A929CE">
            <w:pPr>
              <w:autoSpaceDE w:val="0"/>
              <w:autoSpaceDN w:val="0"/>
              <w:adjustRightInd w:val="0"/>
              <w:spacing w:line="360" w:lineRule="auto"/>
              <w:jc w:val="both"/>
              <w:rPr>
                <w:rFonts w:asciiTheme="minorHAnsi" w:hAnsiTheme="minorHAnsi" w:cs="Tahoma"/>
                <w:sz w:val="24"/>
                <w:szCs w:val="24"/>
              </w:rPr>
            </w:pPr>
            <w:r w:rsidRPr="00A929CE">
              <w:rPr>
                <w:rFonts w:asciiTheme="minorHAnsi" w:hAnsiTheme="minorHAnsi" w:cs="Tahoma"/>
                <w:sz w:val="24"/>
                <w:szCs w:val="24"/>
              </w:rPr>
              <w:t>Toutes les communes urbaines établiront à cet effet un cahier des charges définissant la gestion de la pré-collecte sur son territoire avant 2015</w:t>
            </w:r>
          </w:p>
        </w:tc>
        <w:tc>
          <w:tcPr>
            <w:tcW w:w="6379" w:type="dxa"/>
          </w:tcPr>
          <w:p w:rsidR="00097DCB" w:rsidRDefault="00097DCB" w:rsidP="00A929CE">
            <w:pPr>
              <w:autoSpaceDE w:val="0"/>
              <w:autoSpaceDN w:val="0"/>
              <w:adjustRightInd w:val="0"/>
              <w:spacing w:line="360" w:lineRule="auto"/>
              <w:jc w:val="both"/>
              <w:rPr>
                <w:rFonts w:asciiTheme="minorHAnsi" w:hAnsiTheme="minorHAnsi" w:cs="Tahoma"/>
                <w:bCs/>
                <w:sz w:val="24"/>
                <w:szCs w:val="24"/>
              </w:rPr>
            </w:pPr>
            <w:r w:rsidRPr="00A929CE">
              <w:rPr>
                <w:rFonts w:asciiTheme="minorHAnsi" w:hAnsiTheme="minorHAnsi" w:cs="Tahoma"/>
                <w:bCs/>
                <w:sz w:val="24"/>
                <w:szCs w:val="24"/>
              </w:rPr>
              <w:t xml:space="preserve">Toutes les communes n’ont pas établi un cahier de charges définissant </w:t>
            </w:r>
            <w:r w:rsidR="000740B3">
              <w:rPr>
                <w:rFonts w:asciiTheme="minorHAnsi" w:hAnsiTheme="minorHAnsi" w:cs="Tahoma"/>
                <w:bCs/>
                <w:sz w:val="24"/>
                <w:szCs w:val="24"/>
              </w:rPr>
              <w:t>la gestion de la pré collecte (B</w:t>
            </w:r>
            <w:r w:rsidRPr="00A929CE">
              <w:rPr>
                <w:rFonts w:asciiTheme="minorHAnsi" w:hAnsiTheme="minorHAnsi" w:cs="Tahoma"/>
                <w:bCs/>
                <w:sz w:val="24"/>
                <w:szCs w:val="24"/>
              </w:rPr>
              <w:t>amako fait exception)</w:t>
            </w:r>
          </w:p>
          <w:p w:rsidR="00DC2972" w:rsidRPr="006E0389" w:rsidRDefault="00DC2972" w:rsidP="00A929CE">
            <w:pPr>
              <w:autoSpaceDE w:val="0"/>
              <w:autoSpaceDN w:val="0"/>
              <w:adjustRightInd w:val="0"/>
              <w:spacing w:line="360" w:lineRule="auto"/>
              <w:jc w:val="both"/>
              <w:rPr>
                <w:rFonts w:asciiTheme="minorHAnsi" w:hAnsiTheme="minorHAnsi" w:cs="Tahoma"/>
                <w:b/>
                <w:sz w:val="24"/>
                <w:szCs w:val="24"/>
                <w:u w:val="single"/>
              </w:rPr>
            </w:pPr>
            <w:r w:rsidRPr="006E0389">
              <w:rPr>
                <w:rFonts w:asciiTheme="minorHAnsi" w:hAnsiTheme="minorHAnsi" w:cs="Tahoma"/>
                <w:b/>
                <w:bCs/>
                <w:sz w:val="24"/>
                <w:szCs w:val="24"/>
                <w:u w:val="single"/>
              </w:rPr>
              <w:t>Cible partiellement atteinte</w:t>
            </w:r>
          </w:p>
          <w:p w:rsidR="00CE195C" w:rsidRPr="00A929CE" w:rsidRDefault="00CE195C" w:rsidP="00A929CE">
            <w:pPr>
              <w:autoSpaceDE w:val="0"/>
              <w:autoSpaceDN w:val="0"/>
              <w:adjustRightInd w:val="0"/>
              <w:spacing w:line="360" w:lineRule="auto"/>
              <w:jc w:val="both"/>
              <w:rPr>
                <w:rFonts w:asciiTheme="minorHAnsi" w:hAnsiTheme="minorHAnsi" w:cs="Tahoma"/>
                <w:sz w:val="24"/>
                <w:szCs w:val="24"/>
              </w:rPr>
            </w:pPr>
          </w:p>
        </w:tc>
      </w:tr>
      <w:tr w:rsidR="00CE195C" w:rsidRPr="00A929CE" w:rsidTr="008C046F">
        <w:tc>
          <w:tcPr>
            <w:tcW w:w="2439" w:type="dxa"/>
            <w:shd w:val="clear" w:color="auto" w:fill="BFBFBF" w:themeFill="background1" w:themeFillShade="BF"/>
          </w:tcPr>
          <w:p w:rsidR="00CE195C" w:rsidRPr="00A929CE" w:rsidRDefault="00CE195C" w:rsidP="00A929CE">
            <w:pPr>
              <w:spacing w:line="360" w:lineRule="auto"/>
              <w:jc w:val="both"/>
              <w:rPr>
                <w:rFonts w:asciiTheme="minorHAnsi" w:hAnsiTheme="minorHAnsi" w:cs="Tahoma"/>
                <w:b/>
                <w:bCs/>
                <w:sz w:val="24"/>
                <w:szCs w:val="24"/>
                <w:lang w:eastAsia="en-GB"/>
              </w:rPr>
            </w:pPr>
            <w:r w:rsidRPr="00A929CE">
              <w:rPr>
                <w:rFonts w:asciiTheme="minorHAnsi" w:hAnsiTheme="minorHAnsi" w:cs="Tahoma"/>
                <w:b/>
                <w:bCs/>
                <w:sz w:val="24"/>
                <w:szCs w:val="24"/>
              </w:rPr>
              <w:t>R 6 : Collecte et évacuation</w:t>
            </w:r>
          </w:p>
        </w:tc>
        <w:tc>
          <w:tcPr>
            <w:tcW w:w="6804" w:type="dxa"/>
          </w:tcPr>
          <w:p w:rsidR="00CE195C" w:rsidRPr="00A929CE" w:rsidRDefault="00CE195C" w:rsidP="00A929CE">
            <w:pPr>
              <w:autoSpaceDE w:val="0"/>
              <w:autoSpaceDN w:val="0"/>
              <w:adjustRightInd w:val="0"/>
              <w:spacing w:line="360" w:lineRule="auto"/>
              <w:jc w:val="both"/>
              <w:rPr>
                <w:rFonts w:asciiTheme="minorHAnsi" w:hAnsiTheme="minorHAnsi" w:cs="Tahoma"/>
                <w:sz w:val="24"/>
                <w:szCs w:val="24"/>
              </w:rPr>
            </w:pPr>
            <w:r w:rsidRPr="00A929CE">
              <w:rPr>
                <w:rFonts w:asciiTheme="minorHAnsi" w:hAnsiTheme="minorHAnsi" w:cs="Tahoma"/>
                <w:sz w:val="24"/>
                <w:szCs w:val="24"/>
              </w:rPr>
              <w:t>80% des ménages des centres urbains et 50% des ménages des centres semi-urbains ont leurs ordures ménagères collectées et évacuées au moins une fois par semaine avant 2015</w:t>
            </w:r>
          </w:p>
        </w:tc>
        <w:tc>
          <w:tcPr>
            <w:tcW w:w="6379" w:type="dxa"/>
          </w:tcPr>
          <w:p w:rsidR="00097DCB" w:rsidRDefault="00097DCB" w:rsidP="00A929CE">
            <w:pPr>
              <w:autoSpaceDE w:val="0"/>
              <w:autoSpaceDN w:val="0"/>
              <w:adjustRightInd w:val="0"/>
              <w:spacing w:line="360" w:lineRule="auto"/>
              <w:jc w:val="both"/>
              <w:rPr>
                <w:rFonts w:asciiTheme="minorHAnsi" w:hAnsiTheme="minorHAnsi" w:cs="Tahoma"/>
                <w:bCs/>
                <w:sz w:val="24"/>
                <w:szCs w:val="24"/>
              </w:rPr>
            </w:pPr>
            <w:r w:rsidRPr="00A929CE">
              <w:rPr>
                <w:rFonts w:asciiTheme="minorHAnsi" w:hAnsiTheme="minorHAnsi" w:cs="Tahoma"/>
                <w:bCs/>
                <w:sz w:val="24"/>
                <w:szCs w:val="24"/>
              </w:rPr>
              <w:t>Tous les ménages ne sont pas abonnés à un service de ramassage des ordures sur l’étendue du territoire (300.250/520.598 familles sont abonnées) soit 57,67%</w:t>
            </w:r>
          </w:p>
          <w:p w:rsidR="00DC2972" w:rsidRPr="006E0389" w:rsidRDefault="00DC2972" w:rsidP="00A929CE">
            <w:pPr>
              <w:autoSpaceDE w:val="0"/>
              <w:autoSpaceDN w:val="0"/>
              <w:adjustRightInd w:val="0"/>
              <w:spacing w:line="360" w:lineRule="auto"/>
              <w:jc w:val="both"/>
              <w:rPr>
                <w:rFonts w:asciiTheme="minorHAnsi" w:hAnsiTheme="minorHAnsi" w:cs="Tahoma"/>
                <w:b/>
                <w:sz w:val="24"/>
                <w:szCs w:val="24"/>
                <w:u w:val="single"/>
              </w:rPr>
            </w:pPr>
            <w:r w:rsidRPr="006E0389">
              <w:rPr>
                <w:rFonts w:asciiTheme="minorHAnsi" w:hAnsiTheme="minorHAnsi" w:cs="Tahoma"/>
                <w:b/>
                <w:bCs/>
                <w:sz w:val="24"/>
                <w:szCs w:val="24"/>
                <w:u w:val="single"/>
              </w:rPr>
              <w:t>Cible à moitié atteinte</w:t>
            </w:r>
          </w:p>
          <w:p w:rsidR="00CE195C" w:rsidRPr="00A929CE" w:rsidRDefault="00CE195C" w:rsidP="00A929CE">
            <w:pPr>
              <w:autoSpaceDE w:val="0"/>
              <w:autoSpaceDN w:val="0"/>
              <w:adjustRightInd w:val="0"/>
              <w:spacing w:line="360" w:lineRule="auto"/>
              <w:jc w:val="both"/>
              <w:rPr>
                <w:rFonts w:asciiTheme="minorHAnsi" w:hAnsiTheme="minorHAnsi" w:cs="Tahoma"/>
                <w:sz w:val="24"/>
                <w:szCs w:val="24"/>
              </w:rPr>
            </w:pPr>
          </w:p>
        </w:tc>
      </w:tr>
      <w:tr w:rsidR="00CE195C" w:rsidRPr="00A929CE" w:rsidTr="008C046F">
        <w:tc>
          <w:tcPr>
            <w:tcW w:w="2439" w:type="dxa"/>
            <w:shd w:val="clear" w:color="auto" w:fill="BFBFBF" w:themeFill="background1" w:themeFillShade="BF"/>
          </w:tcPr>
          <w:p w:rsidR="00CE195C" w:rsidRPr="00A929CE" w:rsidRDefault="00CE195C" w:rsidP="00A929CE">
            <w:pPr>
              <w:spacing w:line="360" w:lineRule="auto"/>
              <w:jc w:val="both"/>
              <w:rPr>
                <w:rFonts w:asciiTheme="minorHAnsi" w:hAnsiTheme="minorHAnsi" w:cs="Tahoma"/>
                <w:b/>
                <w:bCs/>
                <w:sz w:val="24"/>
                <w:szCs w:val="24"/>
                <w:lang w:eastAsia="en-GB"/>
              </w:rPr>
            </w:pPr>
            <w:r w:rsidRPr="00A929CE">
              <w:rPr>
                <w:rFonts w:asciiTheme="minorHAnsi" w:hAnsiTheme="minorHAnsi" w:cs="Tahoma"/>
                <w:b/>
                <w:bCs/>
                <w:sz w:val="24"/>
                <w:szCs w:val="24"/>
              </w:rPr>
              <w:t>R7 : Dépôt et traitement</w:t>
            </w:r>
          </w:p>
        </w:tc>
        <w:tc>
          <w:tcPr>
            <w:tcW w:w="6804" w:type="dxa"/>
          </w:tcPr>
          <w:p w:rsidR="00CE195C" w:rsidRPr="00A929CE" w:rsidRDefault="00CE195C">
            <w:pPr>
              <w:autoSpaceDE w:val="0"/>
              <w:autoSpaceDN w:val="0"/>
              <w:adjustRightInd w:val="0"/>
              <w:spacing w:line="360" w:lineRule="auto"/>
              <w:jc w:val="both"/>
              <w:rPr>
                <w:rFonts w:asciiTheme="minorHAnsi" w:hAnsiTheme="minorHAnsi" w:cs="Tahoma"/>
                <w:sz w:val="24"/>
                <w:szCs w:val="24"/>
              </w:rPr>
            </w:pPr>
            <w:r w:rsidRPr="00A929CE">
              <w:rPr>
                <w:rFonts w:asciiTheme="minorHAnsi" w:hAnsiTheme="minorHAnsi" w:cs="Tahoma"/>
                <w:sz w:val="24"/>
                <w:szCs w:val="24"/>
              </w:rPr>
              <w:t>Des sites adéquats de dépôts de transit et décharges finales sont aménagés et équipés pour les déchets solides domestiques dans 50% des villes de plus de 50.000 h</w:t>
            </w:r>
            <w:r w:rsidR="002614AB">
              <w:rPr>
                <w:rFonts w:asciiTheme="minorHAnsi" w:hAnsiTheme="minorHAnsi" w:cs="Tahoma"/>
                <w:sz w:val="24"/>
                <w:szCs w:val="24"/>
              </w:rPr>
              <w:t>abitan</w:t>
            </w:r>
            <w:r w:rsidRPr="00A929CE">
              <w:rPr>
                <w:rFonts w:asciiTheme="minorHAnsi" w:hAnsiTheme="minorHAnsi" w:cs="Tahoma"/>
                <w:sz w:val="24"/>
                <w:szCs w:val="24"/>
              </w:rPr>
              <w:t>ts avant 2015, et dans 100% des villes de plus de 50.000 h</w:t>
            </w:r>
            <w:r w:rsidR="002614AB">
              <w:rPr>
                <w:rFonts w:asciiTheme="minorHAnsi" w:hAnsiTheme="minorHAnsi" w:cs="Tahoma"/>
                <w:sz w:val="24"/>
                <w:szCs w:val="24"/>
              </w:rPr>
              <w:t>abitants</w:t>
            </w:r>
            <w:r w:rsidRPr="00A929CE">
              <w:rPr>
                <w:rFonts w:asciiTheme="minorHAnsi" w:hAnsiTheme="minorHAnsi" w:cs="Tahoma"/>
                <w:sz w:val="24"/>
                <w:szCs w:val="24"/>
              </w:rPr>
              <w:t xml:space="preserve"> et 50% des villes de plus de 25.000 h</w:t>
            </w:r>
            <w:r w:rsidR="002614AB">
              <w:rPr>
                <w:rFonts w:asciiTheme="minorHAnsi" w:hAnsiTheme="minorHAnsi" w:cs="Tahoma"/>
                <w:sz w:val="24"/>
                <w:szCs w:val="24"/>
              </w:rPr>
              <w:t>abitan</w:t>
            </w:r>
            <w:r w:rsidRPr="00A929CE">
              <w:rPr>
                <w:rFonts w:asciiTheme="minorHAnsi" w:hAnsiTheme="minorHAnsi" w:cs="Tahoma"/>
                <w:sz w:val="24"/>
                <w:szCs w:val="24"/>
              </w:rPr>
              <w:t>ts avant 2025</w:t>
            </w:r>
          </w:p>
        </w:tc>
        <w:tc>
          <w:tcPr>
            <w:tcW w:w="6379" w:type="dxa"/>
          </w:tcPr>
          <w:p w:rsidR="00097DCB" w:rsidRPr="00A929CE" w:rsidRDefault="00097DCB" w:rsidP="00A929CE">
            <w:pPr>
              <w:autoSpaceDE w:val="0"/>
              <w:autoSpaceDN w:val="0"/>
              <w:adjustRightInd w:val="0"/>
              <w:spacing w:line="360" w:lineRule="auto"/>
              <w:jc w:val="both"/>
              <w:rPr>
                <w:rFonts w:asciiTheme="minorHAnsi" w:hAnsiTheme="minorHAnsi" w:cs="Tahoma"/>
                <w:sz w:val="24"/>
                <w:szCs w:val="24"/>
              </w:rPr>
            </w:pPr>
            <w:r w:rsidRPr="00A929CE">
              <w:rPr>
                <w:rFonts w:asciiTheme="minorHAnsi" w:hAnsiTheme="minorHAnsi" w:cs="Tahoma"/>
                <w:bCs/>
                <w:sz w:val="24"/>
                <w:szCs w:val="24"/>
              </w:rPr>
              <w:t>En 2017 : 166 dépôts de transit et 02 décharges finales ont été construits</w:t>
            </w:r>
          </w:p>
          <w:p w:rsidR="00097DCB" w:rsidRPr="006E0389" w:rsidRDefault="002614AB" w:rsidP="00A929CE">
            <w:pPr>
              <w:autoSpaceDE w:val="0"/>
              <w:autoSpaceDN w:val="0"/>
              <w:adjustRightInd w:val="0"/>
              <w:spacing w:line="360" w:lineRule="auto"/>
              <w:jc w:val="both"/>
              <w:rPr>
                <w:rFonts w:asciiTheme="minorHAnsi" w:hAnsiTheme="minorHAnsi" w:cs="Tahoma"/>
                <w:b/>
                <w:sz w:val="24"/>
                <w:szCs w:val="24"/>
                <w:u w:val="single"/>
              </w:rPr>
            </w:pPr>
            <w:r w:rsidRPr="006E0389">
              <w:rPr>
                <w:rFonts w:asciiTheme="minorHAnsi" w:hAnsiTheme="minorHAnsi" w:cs="Tahoma"/>
                <w:b/>
                <w:bCs/>
                <w:sz w:val="24"/>
                <w:szCs w:val="24"/>
                <w:u w:val="single"/>
              </w:rPr>
              <w:t>Ci</w:t>
            </w:r>
            <w:r w:rsidR="00097DCB" w:rsidRPr="006E0389">
              <w:rPr>
                <w:rFonts w:asciiTheme="minorHAnsi" w:hAnsiTheme="minorHAnsi" w:cs="Tahoma"/>
                <w:b/>
                <w:bCs/>
                <w:sz w:val="24"/>
                <w:szCs w:val="24"/>
                <w:u w:val="single"/>
              </w:rPr>
              <w:t xml:space="preserve">ble </w:t>
            </w:r>
            <w:r w:rsidRPr="006E0389">
              <w:rPr>
                <w:rFonts w:asciiTheme="minorHAnsi" w:hAnsiTheme="minorHAnsi" w:cs="Tahoma"/>
                <w:b/>
                <w:bCs/>
                <w:sz w:val="24"/>
                <w:szCs w:val="24"/>
                <w:u w:val="single"/>
              </w:rPr>
              <w:t xml:space="preserve">pas </w:t>
            </w:r>
            <w:r w:rsidR="00097DCB" w:rsidRPr="006E0389">
              <w:rPr>
                <w:rFonts w:asciiTheme="minorHAnsi" w:hAnsiTheme="minorHAnsi" w:cs="Tahoma"/>
                <w:b/>
                <w:bCs/>
                <w:sz w:val="24"/>
                <w:szCs w:val="24"/>
                <w:u w:val="single"/>
              </w:rPr>
              <w:t>atteinte</w:t>
            </w:r>
          </w:p>
          <w:p w:rsidR="00CE195C" w:rsidRPr="00A929CE" w:rsidRDefault="00CE195C" w:rsidP="00A929CE">
            <w:pPr>
              <w:autoSpaceDE w:val="0"/>
              <w:autoSpaceDN w:val="0"/>
              <w:adjustRightInd w:val="0"/>
              <w:spacing w:line="360" w:lineRule="auto"/>
              <w:jc w:val="both"/>
              <w:rPr>
                <w:rFonts w:asciiTheme="minorHAnsi" w:hAnsiTheme="minorHAnsi" w:cs="Tahoma"/>
                <w:b/>
                <w:color w:val="FF0000"/>
                <w:sz w:val="24"/>
                <w:szCs w:val="24"/>
              </w:rPr>
            </w:pPr>
          </w:p>
        </w:tc>
      </w:tr>
      <w:tr w:rsidR="00CE195C" w:rsidRPr="00A929CE" w:rsidTr="008C046F">
        <w:tc>
          <w:tcPr>
            <w:tcW w:w="9243" w:type="dxa"/>
            <w:gridSpan w:val="2"/>
            <w:shd w:val="clear" w:color="auto" w:fill="BFBFBF" w:themeFill="background1" w:themeFillShade="BF"/>
          </w:tcPr>
          <w:p w:rsidR="00CE195C" w:rsidRPr="00A929CE" w:rsidRDefault="00CE195C" w:rsidP="00A929CE">
            <w:pPr>
              <w:spacing w:line="360" w:lineRule="auto"/>
              <w:jc w:val="center"/>
              <w:rPr>
                <w:rFonts w:asciiTheme="minorHAnsi" w:hAnsiTheme="minorHAnsi" w:cs="Tahoma"/>
                <w:b/>
                <w:bCs/>
                <w:i/>
                <w:sz w:val="24"/>
                <w:szCs w:val="24"/>
                <w:lang w:eastAsia="en-GB"/>
              </w:rPr>
            </w:pPr>
            <w:r w:rsidRPr="00A929CE">
              <w:rPr>
                <w:rFonts w:asciiTheme="minorHAnsi" w:hAnsiTheme="minorHAnsi" w:cs="Tahoma"/>
                <w:b/>
                <w:bCs/>
                <w:i/>
                <w:sz w:val="24"/>
                <w:szCs w:val="24"/>
              </w:rPr>
              <w:t>Filière déchets liquides et solides industriels</w:t>
            </w:r>
          </w:p>
        </w:tc>
        <w:tc>
          <w:tcPr>
            <w:tcW w:w="6379" w:type="dxa"/>
            <w:shd w:val="clear" w:color="auto" w:fill="BFBFBF" w:themeFill="background1" w:themeFillShade="BF"/>
          </w:tcPr>
          <w:p w:rsidR="00CE195C" w:rsidRPr="00A929CE" w:rsidRDefault="00CE195C" w:rsidP="00A929CE">
            <w:pPr>
              <w:spacing w:line="360" w:lineRule="auto"/>
              <w:jc w:val="center"/>
              <w:rPr>
                <w:rFonts w:asciiTheme="minorHAnsi" w:hAnsiTheme="minorHAnsi" w:cs="Tahoma"/>
                <w:b/>
                <w:bCs/>
                <w:i/>
                <w:sz w:val="24"/>
                <w:szCs w:val="24"/>
              </w:rPr>
            </w:pPr>
          </w:p>
        </w:tc>
      </w:tr>
      <w:tr w:rsidR="00CE195C" w:rsidRPr="00A929CE" w:rsidTr="008C046F">
        <w:tc>
          <w:tcPr>
            <w:tcW w:w="2439" w:type="dxa"/>
            <w:shd w:val="clear" w:color="auto" w:fill="BFBFBF" w:themeFill="background1" w:themeFillShade="BF"/>
          </w:tcPr>
          <w:p w:rsidR="00CE195C" w:rsidRPr="00A929CE" w:rsidRDefault="00CE195C" w:rsidP="00A929CE">
            <w:pPr>
              <w:spacing w:line="360" w:lineRule="auto"/>
              <w:rPr>
                <w:rFonts w:asciiTheme="minorHAnsi" w:hAnsiTheme="minorHAnsi" w:cs="Tahoma"/>
                <w:b/>
                <w:bCs/>
                <w:sz w:val="24"/>
                <w:szCs w:val="24"/>
                <w:lang w:eastAsia="en-GB"/>
              </w:rPr>
            </w:pPr>
            <w:r w:rsidRPr="00A929CE">
              <w:rPr>
                <w:rFonts w:asciiTheme="minorHAnsi" w:hAnsiTheme="minorHAnsi" w:cs="Tahoma"/>
                <w:b/>
                <w:bCs/>
                <w:sz w:val="24"/>
                <w:szCs w:val="24"/>
              </w:rPr>
              <w:t>R8. Recensement des industries polluantes</w:t>
            </w:r>
          </w:p>
        </w:tc>
        <w:tc>
          <w:tcPr>
            <w:tcW w:w="6804" w:type="dxa"/>
          </w:tcPr>
          <w:p w:rsidR="00CE195C" w:rsidRPr="00A929CE" w:rsidRDefault="00CE195C" w:rsidP="00A929CE">
            <w:pPr>
              <w:autoSpaceDE w:val="0"/>
              <w:autoSpaceDN w:val="0"/>
              <w:adjustRightInd w:val="0"/>
              <w:spacing w:line="360" w:lineRule="auto"/>
              <w:jc w:val="both"/>
              <w:rPr>
                <w:rFonts w:asciiTheme="minorHAnsi" w:hAnsiTheme="minorHAnsi" w:cs="Tahoma"/>
                <w:sz w:val="24"/>
                <w:szCs w:val="24"/>
              </w:rPr>
            </w:pPr>
            <w:r w:rsidRPr="00A929CE">
              <w:rPr>
                <w:rFonts w:asciiTheme="minorHAnsi" w:hAnsiTheme="minorHAnsi" w:cs="Tahoma"/>
                <w:sz w:val="24"/>
                <w:szCs w:val="24"/>
              </w:rPr>
              <w:t>L’ensemble des sites industriels potentiellement polluants sont recensés avant 2010, classifiés et la liste est mise à jour annuellement</w:t>
            </w:r>
          </w:p>
        </w:tc>
        <w:tc>
          <w:tcPr>
            <w:tcW w:w="6379" w:type="dxa"/>
          </w:tcPr>
          <w:p w:rsidR="00097DCB" w:rsidRPr="00A929CE" w:rsidRDefault="00097DCB" w:rsidP="00A929CE">
            <w:pPr>
              <w:autoSpaceDE w:val="0"/>
              <w:autoSpaceDN w:val="0"/>
              <w:adjustRightInd w:val="0"/>
              <w:spacing w:line="360" w:lineRule="auto"/>
              <w:jc w:val="both"/>
              <w:rPr>
                <w:rFonts w:asciiTheme="minorHAnsi" w:hAnsiTheme="minorHAnsi" w:cs="Tahoma"/>
                <w:sz w:val="24"/>
                <w:szCs w:val="24"/>
              </w:rPr>
            </w:pPr>
            <w:r w:rsidRPr="00A929CE">
              <w:rPr>
                <w:rFonts w:asciiTheme="minorHAnsi" w:hAnsiTheme="minorHAnsi" w:cs="Tahoma"/>
                <w:bCs/>
                <w:sz w:val="24"/>
                <w:szCs w:val="24"/>
              </w:rPr>
              <w:t>Recensement et classification effectués.</w:t>
            </w:r>
          </w:p>
          <w:p w:rsidR="00097DCB" w:rsidRPr="00A929CE" w:rsidRDefault="00097DCB" w:rsidP="00A929CE">
            <w:pPr>
              <w:autoSpaceDE w:val="0"/>
              <w:autoSpaceDN w:val="0"/>
              <w:adjustRightInd w:val="0"/>
              <w:spacing w:line="360" w:lineRule="auto"/>
              <w:jc w:val="both"/>
              <w:rPr>
                <w:rFonts w:asciiTheme="minorHAnsi" w:hAnsiTheme="minorHAnsi" w:cs="Tahoma"/>
                <w:sz w:val="24"/>
                <w:szCs w:val="24"/>
              </w:rPr>
            </w:pPr>
            <w:r w:rsidRPr="00A929CE">
              <w:rPr>
                <w:rFonts w:asciiTheme="minorHAnsi" w:hAnsiTheme="minorHAnsi" w:cs="Tahoma"/>
                <w:bCs/>
                <w:sz w:val="24"/>
                <w:szCs w:val="24"/>
              </w:rPr>
              <w:t>Mise à jour pas souvent effectuée</w:t>
            </w:r>
          </w:p>
          <w:p w:rsidR="00097DCB" w:rsidRPr="006E0389" w:rsidRDefault="002614AB" w:rsidP="00A929CE">
            <w:pPr>
              <w:autoSpaceDE w:val="0"/>
              <w:autoSpaceDN w:val="0"/>
              <w:adjustRightInd w:val="0"/>
              <w:spacing w:line="360" w:lineRule="auto"/>
              <w:jc w:val="both"/>
              <w:rPr>
                <w:rFonts w:asciiTheme="minorHAnsi" w:hAnsiTheme="minorHAnsi" w:cs="Tahoma"/>
                <w:b/>
                <w:sz w:val="24"/>
                <w:szCs w:val="24"/>
                <w:u w:val="single"/>
              </w:rPr>
            </w:pPr>
            <w:r>
              <w:rPr>
                <w:rFonts w:asciiTheme="minorHAnsi" w:hAnsiTheme="minorHAnsi" w:cs="Tahoma"/>
                <w:b/>
                <w:bCs/>
                <w:sz w:val="24"/>
                <w:szCs w:val="24"/>
                <w:u w:val="single"/>
              </w:rPr>
              <w:t xml:space="preserve">Cible </w:t>
            </w:r>
            <w:r w:rsidR="00097DCB" w:rsidRPr="006E0389">
              <w:rPr>
                <w:rFonts w:asciiTheme="minorHAnsi" w:hAnsiTheme="minorHAnsi" w:cs="Tahoma"/>
                <w:b/>
                <w:bCs/>
                <w:sz w:val="24"/>
                <w:szCs w:val="24"/>
                <w:u w:val="single"/>
              </w:rPr>
              <w:t>partiellement atteint</w:t>
            </w:r>
            <w:r w:rsidRPr="006E0389">
              <w:rPr>
                <w:rFonts w:asciiTheme="minorHAnsi" w:hAnsiTheme="minorHAnsi" w:cs="Tahoma"/>
                <w:b/>
                <w:bCs/>
                <w:sz w:val="24"/>
                <w:szCs w:val="24"/>
                <w:u w:val="single"/>
              </w:rPr>
              <w:t>e</w:t>
            </w:r>
          </w:p>
          <w:p w:rsidR="00CE195C" w:rsidRPr="00A929CE" w:rsidRDefault="00CE195C" w:rsidP="00A929CE">
            <w:pPr>
              <w:autoSpaceDE w:val="0"/>
              <w:autoSpaceDN w:val="0"/>
              <w:adjustRightInd w:val="0"/>
              <w:spacing w:line="360" w:lineRule="auto"/>
              <w:jc w:val="both"/>
              <w:rPr>
                <w:rFonts w:asciiTheme="minorHAnsi" w:hAnsiTheme="minorHAnsi" w:cs="Tahoma"/>
                <w:sz w:val="24"/>
                <w:szCs w:val="24"/>
              </w:rPr>
            </w:pPr>
          </w:p>
        </w:tc>
      </w:tr>
      <w:tr w:rsidR="004401CD" w:rsidRPr="00A929CE" w:rsidTr="008C046F">
        <w:tc>
          <w:tcPr>
            <w:tcW w:w="2439" w:type="dxa"/>
            <w:shd w:val="clear" w:color="auto" w:fill="BFBFBF" w:themeFill="background1" w:themeFillShade="BF"/>
          </w:tcPr>
          <w:p w:rsidR="004401CD" w:rsidRPr="00A929CE" w:rsidRDefault="004401CD" w:rsidP="00A929CE">
            <w:pPr>
              <w:spacing w:line="360" w:lineRule="auto"/>
              <w:rPr>
                <w:rFonts w:asciiTheme="minorHAnsi" w:hAnsiTheme="minorHAnsi" w:cs="Tahoma"/>
                <w:b/>
                <w:bCs/>
                <w:sz w:val="24"/>
                <w:szCs w:val="24"/>
                <w:lang w:eastAsia="en-GB"/>
              </w:rPr>
            </w:pPr>
            <w:r w:rsidRPr="00A929CE">
              <w:rPr>
                <w:rFonts w:asciiTheme="minorHAnsi" w:hAnsiTheme="minorHAnsi" w:cs="Tahoma"/>
                <w:b/>
                <w:bCs/>
                <w:sz w:val="24"/>
                <w:szCs w:val="24"/>
              </w:rPr>
              <w:t>R9. Traitement des déchets liquides industriels</w:t>
            </w:r>
          </w:p>
        </w:tc>
        <w:tc>
          <w:tcPr>
            <w:tcW w:w="6804" w:type="dxa"/>
          </w:tcPr>
          <w:p w:rsidR="004401CD" w:rsidRPr="00A929CE" w:rsidRDefault="004401CD" w:rsidP="00A929CE">
            <w:pPr>
              <w:autoSpaceDE w:val="0"/>
              <w:autoSpaceDN w:val="0"/>
              <w:adjustRightInd w:val="0"/>
              <w:spacing w:line="360" w:lineRule="auto"/>
              <w:jc w:val="both"/>
              <w:rPr>
                <w:rFonts w:asciiTheme="minorHAnsi" w:hAnsiTheme="minorHAnsi" w:cs="Tahoma"/>
                <w:sz w:val="24"/>
                <w:szCs w:val="24"/>
              </w:rPr>
            </w:pPr>
            <w:r w:rsidRPr="00A929CE">
              <w:rPr>
                <w:rFonts w:asciiTheme="minorHAnsi" w:hAnsiTheme="minorHAnsi" w:cs="Tahoma"/>
                <w:sz w:val="24"/>
                <w:szCs w:val="24"/>
              </w:rPr>
              <w:t>Les eaux usées liées à des procédés industriels sont prétraitées ou traitées avant rejet dans les réseaux d’assainissement existants ou dans le milieu naturel pour plus de 50% des industries recensées comme polluantes avant 2015 et 100% des industries d’ici à 2025</w:t>
            </w:r>
          </w:p>
        </w:tc>
        <w:tc>
          <w:tcPr>
            <w:tcW w:w="6379" w:type="dxa"/>
            <w:vMerge w:val="restart"/>
          </w:tcPr>
          <w:p w:rsidR="004401CD" w:rsidRPr="00A929CE" w:rsidRDefault="004401CD" w:rsidP="00A929CE">
            <w:pPr>
              <w:autoSpaceDE w:val="0"/>
              <w:autoSpaceDN w:val="0"/>
              <w:adjustRightInd w:val="0"/>
              <w:spacing w:line="360" w:lineRule="auto"/>
              <w:jc w:val="both"/>
              <w:rPr>
                <w:rFonts w:asciiTheme="minorHAnsi" w:hAnsiTheme="minorHAnsi" w:cs="Tahoma"/>
                <w:sz w:val="24"/>
                <w:szCs w:val="24"/>
              </w:rPr>
            </w:pPr>
            <w:r w:rsidRPr="00A929CE">
              <w:rPr>
                <w:rFonts w:asciiTheme="minorHAnsi" w:hAnsiTheme="minorHAnsi" w:cs="Tahoma"/>
                <w:bCs/>
                <w:sz w:val="24"/>
                <w:szCs w:val="24"/>
              </w:rPr>
              <w:t>Station de traitement de SOTUBA (Bamako)</w:t>
            </w:r>
          </w:p>
          <w:p w:rsidR="004401CD" w:rsidRPr="00A929CE" w:rsidRDefault="004401CD" w:rsidP="00A929CE">
            <w:pPr>
              <w:autoSpaceDE w:val="0"/>
              <w:autoSpaceDN w:val="0"/>
              <w:adjustRightInd w:val="0"/>
              <w:spacing w:line="360" w:lineRule="auto"/>
              <w:jc w:val="both"/>
              <w:rPr>
                <w:rFonts w:asciiTheme="minorHAnsi" w:hAnsiTheme="minorHAnsi" w:cs="Tahoma"/>
                <w:sz w:val="24"/>
                <w:szCs w:val="24"/>
              </w:rPr>
            </w:pPr>
            <w:r w:rsidRPr="00A929CE">
              <w:rPr>
                <w:rFonts w:asciiTheme="minorHAnsi" w:hAnsiTheme="minorHAnsi" w:cs="Tahoma"/>
                <w:bCs/>
                <w:sz w:val="24"/>
                <w:szCs w:val="24"/>
              </w:rPr>
              <w:t xml:space="preserve">Certains hôtels de la place possèdent des dispositifs de prétraitement ou de traitement. Les analyses effectuées ne sont pas </w:t>
            </w:r>
            <w:r w:rsidR="002614AB" w:rsidRPr="00A929CE">
              <w:rPr>
                <w:rFonts w:asciiTheme="minorHAnsi" w:hAnsiTheme="minorHAnsi" w:cs="Tahoma"/>
                <w:bCs/>
                <w:sz w:val="24"/>
                <w:szCs w:val="24"/>
              </w:rPr>
              <w:t>satisfaisantes</w:t>
            </w:r>
            <w:r w:rsidRPr="00A929CE">
              <w:rPr>
                <w:rFonts w:asciiTheme="minorHAnsi" w:hAnsiTheme="minorHAnsi" w:cs="Tahoma"/>
                <w:bCs/>
                <w:sz w:val="24"/>
                <w:szCs w:val="24"/>
              </w:rPr>
              <w:t>. (</w:t>
            </w:r>
            <w:r w:rsidR="002614AB" w:rsidRPr="00A929CE">
              <w:rPr>
                <w:rFonts w:asciiTheme="minorHAnsi" w:hAnsiTheme="minorHAnsi" w:cs="Tahoma"/>
                <w:bCs/>
                <w:sz w:val="24"/>
                <w:szCs w:val="24"/>
              </w:rPr>
              <w:t>Sur</w:t>
            </w:r>
            <w:r w:rsidRPr="00A929CE">
              <w:rPr>
                <w:rFonts w:asciiTheme="minorHAnsi" w:hAnsiTheme="minorHAnsi" w:cs="Tahoma"/>
                <w:bCs/>
                <w:sz w:val="24"/>
                <w:szCs w:val="24"/>
              </w:rPr>
              <w:t xml:space="preserve"> 13 analyses, 11 ne sont pas conformes selon l’ANGESEM)</w:t>
            </w:r>
          </w:p>
          <w:p w:rsidR="004401CD" w:rsidRPr="006E0389" w:rsidRDefault="002614AB" w:rsidP="004401CD">
            <w:pPr>
              <w:autoSpaceDE w:val="0"/>
              <w:autoSpaceDN w:val="0"/>
              <w:adjustRightInd w:val="0"/>
              <w:spacing w:line="360" w:lineRule="auto"/>
              <w:jc w:val="both"/>
              <w:rPr>
                <w:rFonts w:asciiTheme="minorHAnsi" w:hAnsiTheme="minorHAnsi" w:cs="Tahoma"/>
                <w:b/>
                <w:sz w:val="24"/>
                <w:szCs w:val="24"/>
                <w:u w:val="single"/>
              </w:rPr>
            </w:pPr>
            <w:r w:rsidRPr="006E0389">
              <w:rPr>
                <w:rFonts w:asciiTheme="minorHAnsi" w:hAnsiTheme="minorHAnsi" w:cs="Tahoma"/>
                <w:b/>
                <w:bCs/>
                <w:sz w:val="24"/>
                <w:szCs w:val="24"/>
                <w:u w:val="single"/>
              </w:rPr>
              <w:t xml:space="preserve">Cible </w:t>
            </w:r>
            <w:r w:rsidR="004401CD" w:rsidRPr="006E0389">
              <w:rPr>
                <w:rFonts w:asciiTheme="minorHAnsi" w:hAnsiTheme="minorHAnsi" w:cs="Tahoma"/>
                <w:b/>
                <w:bCs/>
                <w:sz w:val="24"/>
                <w:szCs w:val="24"/>
                <w:u w:val="single"/>
              </w:rPr>
              <w:t>partiellement atteint</w:t>
            </w:r>
            <w:r>
              <w:rPr>
                <w:rFonts w:asciiTheme="minorHAnsi" w:hAnsiTheme="minorHAnsi" w:cs="Tahoma"/>
                <w:b/>
                <w:bCs/>
                <w:sz w:val="24"/>
                <w:szCs w:val="24"/>
                <w:u w:val="single"/>
              </w:rPr>
              <w:t>e</w:t>
            </w:r>
          </w:p>
          <w:p w:rsidR="004401CD" w:rsidRPr="00A929CE" w:rsidRDefault="004401CD" w:rsidP="00A929CE">
            <w:pPr>
              <w:autoSpaceDE w:val="0"/>
              <w:autoSpaceDN w:val="0"/>
              <w:adjustRightInd w:val="0"/>
              <w:spacing w:line="360" w:lineRule="auto"/>
              <w:jc w:val="both"/>
              <w:rPr>
                <w:rFonts w:asciiTheme="minorHAnsi" w:hAnsiTheme="minorHAnsi" w:cs="Tahoma"/>
                <w:b/>
                <w:sz w:val="24"/>
                <w:szCs w:val="24"/>
              </w:rPr>
            </w:pPr>
          </w:p>
        </w:tc>
      </w:tr>
      <w:tr w:rsidR="004401CD" w:rsidRPr="00A929CE" w:rsidTr="008C046F">
        <w:tc>
          <w:tcPr>
            <w:tcW w:w="2439" w:type="dxa"/>
            <w:shd w:val="clear" w:color="auto" w:fill="BFBFBF" w:themeFill="background1" w:themeFillShade="BF"/>
          </w:tcPr>
          <w:p w:rsidR="004401CD" w:rsidRPr="00A929CE" w:rsidRDefault="004401CD" w:rsidP="00A929CE">
            <w:pPr>
              <w:spacing w:line="360" w:lineRule="auto"/>
              <w:rPr>
                <w:rFonts w:asciiTheme="minorHAnsi" w:hAnsiTheme="minorHAnsi" w:cs="Tahoma"/>
                <w:b/>
                <w:bCs/>
                <w:sz w:val="24"/>
                <w:szCs w:val="24"/>
                <w:lang w:eastAsia="en-GB"/>
              </w:rPr>
            </w:pPr>
            <w:r w:rsidRPr="00A929CE">
              <w:rPr>
                <w:rFonts w:asciiTheme="minorHAnsi" w:hAnsiTheme="minorHAnsi" w:cs="Tahoma"/>
                <w:b/>
                <w:bCs/>
                <w:sz w:val="24"/>
                <w:szCs w:val="24"/>
              </w:rPr>
              <w:t>R10. Traitement des déchets solides industriels</w:t>
            </w:r>
          </w:p>
        </w:tc>
        <w:tc>
          <w:tcPr>
            <w:tcW w:w="6804" w:type="dxa"/>
          </w:tcPr>
          <w:p w:rsidR="004401CD" w:rsidRPr="00A929CE" w:rsidRDefault="004401CD" w:rsidP="00A929CE">
            <w:pPr>
              <w:autoSpaceDE w:val="0"/>
              <w:autoSpaceDN w:val="0"/>
              <w:adjustRightInd w:val="0"/>
              <w:spacing w:line="360" w:lineRule="auto"/>
              <w:jc w:val="both"/>
              <w:rPr>
                <w:rFonts w:asciiTheme="minorHAnsi" w:hAnsiTheme="minorHAnsi" w:cs="Tahoma"/>
                <w:sz w:val="24"/>
                <w:szCs w:val="24"/>
              </w:rPr>
            </w:pPr>
            <w:r w:rsidRPr="00A929CE">
              <w:rPr>
                <w:rFonts w:asciiTheme="minorHAnsi" w:hAnsiTheme="minorHAnsi" w:cs="Tahoma"/>
                <w:sz w:val="24"/>
                <w:szCs w:val="24"/>
              </w:rPr>
              <w:t>Les déchets solides industriels ne pouvant pas faire l’objet d’une mise en décharge commune avec les déchets solides domestiques sont traités et stockés sur le lieu de production ou orientés vers une filière spécifique pour plus de 50% des industries classifiées comme polluantes avant 2015 et 75% de ces industries avant 2025</w:t>
            </w:r>
          </w:p>
        </w:tc>
        <w:tc>
          <w:tcPr>
            <w:tcW w:w="6379" w:type="dxa"/>
            <w:vMerge/>
          </w:tcPr>
          <w:p w:rsidR="004401CD" w:rsidRPr="00A929CE" w:rsidRDefault="004401CD" w:rsidP="00A929CE">
            <w:pPr>
              <w:autoSpaceDE w:val="0"/>
              <w:autoSpaceDN w:val="0"/>
              <w:adjustRightInd w:val="0"/>
              <w:spacing w:line="360" w:lineRule="auto"/>
              <w:jc w:val="both"/>
              <w:rPr>
                <w:rFonts w:asciiTheme="minorHAnsi" w:hAnsiTheme="minorHAnsi" w:cs="Tahoma"/>
                <w:b/>
                <w:sz w:val="24"/>
                <w:szCs w:val="24"/>
              </w:rPr>
            </w:pPr>
          </w:p>
        </w:tc>
      </w:tr>
      <w:tr w:rsidR="00CE195C" w:rsidRPr="00A929CE" w:rsidTr="008C046F">
        <w:tc>
          <w:tcPr>
            <w:tcW w:w="9243" w:type="dxa"/>
            <w:gridSpan w:val="2"/>
            <w:shd w:val="clear" w:color="auto" w:fill="BFBFBF" w:themeFill="background1" w:themeFillShade="BF"/>
          </w:tcPr>
          <w:p w:rsidR="00CE195C" w:rsidRPr="00A929CE" w:rsidRDefault="00CE195C" w:rsidP="00A929CE">
            <w:pPr>
              <w:spacing w:line="360" w:lineRule="auto"/>
              <w:jc w:val="center"/>
              <w:rPr>
                <w:rFonts w:asciiTheme="minorHAnsi" w:hAnsiTheme="minorHAnsi" w:cs="Tahoma"/>
                <w:b/>
                <w:bCs/>
                <w:i/>
                <w:sz w:val="24"/>
                <w:szCs w:val="24"/>
                <w:lang w:eastAsia="en-GB"/>
              </w:rPr>
            </w:pPr>
            <w:r w:rsidRPr="00A929CE">
              <w:rPr>
                <w:rFonts w:asciiTheme="minorHAnsi" w:hAnsiTheme="minorHAnsi" w:cs="Tahoma"/>
                <w:b/>
                <w:bCs/>
                <w:i/>
                <w:sz w:val="24"/>
                <w:szCs w:val="24"/>
              </w:rPr>
              <w:t>Filière déchets spéciaux</w:t>
            </w:r>
          </w:p>
        </w:tc>
        <w:tc>
          <w:tcPr>
            <w:tcW w:w="6379" w:type="dxa"/>
            <w:shd w:val="clear" w:color="auto" w:fill="BFBFBF" w:themeFill="background1" w:themeFillShade="BF"/>
          </w:tcPr>
          <w:p w:rsidR="00CE195C" w:rsidRPr="00A929CE" w:rsidRDefault="00CE195C" w:rsidP="00A929CE">
            <w:pPr>
              <w:spacing w:line="360" w:lineRule="auto"/>
              <w:jc w:val="center"/>
              <w:rPr>
                <w:rFonts w:asciiTheme="minorHAnsi" w:hAnsiTheme="minorHAnsi" w:cs="Tahoma"/>
                <w:b/>
                <w:bCs/>
                <w:i/>
                <w:sz w:val="24"/>
                <w:szCs w:val="24"/>
              </w:rPr>
            </w:pPr>
          </w:p>
        </w:tc>
      </w:tr>
      <w:tr w:rsidR="001725BA" w:rsidRPr="00A929CE" w:rsidTr="008C046F">
        <w:tc>
          <w:tcPr>
            <w:tcW w:w="2439" w:type="dxa"/>
            <w:shd w:val="clear" w:color="auto" w:fill="BFBFBF" w:themeFill="background1" w:themeFillShade="BF"/>
          </w:tcPr>
          <w:p w:rsidR="001725BA" w:rsidRPr="00A929CE" w:rsidRDefault="001725BA" w:rsidP="001725BA">
            <w:pPr>
              <w:spacing w:line="360" w:lineRule="auto"/>
              <w:jc w:val="both"/>
              <w:rPr>
                <w:rFonts w:asciiTheme="minorHAnsi" w:hAnsiTheme="minorHAnsi" w:cs="Tahoma"/>
                <w:b/>
                <w:bCs/>
                <w:sz w:val="24"/>
                <w:szCs w:val="24"/>
                <w:lang w:eastAsia="en-GB"/>
              </w:rPr>
            </w:pPr>
            <w:r w:rsidRPr="00A929CE">
              <w:rPr>
                <w:rFonts w:asciiTheme="minorHAnsi" w:hAnsiTheme="minorHAnsi" w:cs="Tahoma"/>
                <w:b/>
                <w:bCs/>
                <w:sz w:val="24"/>
                <w:szCs w:val="24"/>
              </w:rPr>
              <w:t>R11 : Déchets biomédicaux</w:t>
            </w:r>
          </w:p>
        </w:tc>
        <w:tc>
          <w:tcPr>
            <w:tcW w:w="6804" w:type="dxa"/>
          </w:tcPr>
          <w:p w:rsidR="001725BA" w:rsidRPr="00A929CE" w:rsidRDefault="001725BA" w:rsidP="001725BA">
            <w:pPr>
              <w:autoSpaceDE w:val="0"/>
              <w:autoSpaceDN w:val="0"/>
              <w:adjustRightInd w:val="0"/>
              <w:spacing w:line="360" w:lineRule="auto"/>
              <w:jc w:val="both"/>
              <w:rPr>
                <w:rFonts w:asciiTheme="minorHAnsi" w:hAnsiTheme="minorHAnsi" w:cs="Tahoma"/>
                <w:sz w:val="24"/>
                <w:szCs w:val="24"/>
              </w:rPr>
            </w:pPr>
            <w:r w:rsidRPr="00A929CE">
              <w:rPr>
                <w:rFonts w:asciiTheme="minorHAnsi" w:hAnsiTheme="minorHAnsi" w:cs="Tahoma"/>
                <w:sz w:val="24"/>
                <w:szCs w:val="24"/>
              </w:rPr>
              <w:t>Les déchets biomédicaux sont correctement traités par incinération, enfouissement sanitaire ou confinement sur place dans plus de 80% des centres de santé, cliniques privées, hôpitaux avant 2015</w:t>
            </w:r>
          </w:p>
        </w:tc>
        <w:tc>
          <w:tcPr>
            <w:tcW w:w="6379" w:type="dxa"/>
          </w:tcPr>
          <w:p w:rsidR="00F12CD2" w:rsidRPr="006E0389" w:rsidRDefault="00F12CD2" w:rsidP="006E0389">
            <w:pPr>
              <w:spacing w:line="360" w:lineRule="auto"/>
              <w:jc w:val="both"/>
              <w:rPr>
                <w:rFonts w:asciiTheme="minorHAnsi" w:hAnsiTheme="minorHAnsi"/>
                <w:sz w:val="24"/>
                <w:szCs w:val="24"/>
              </w:rPr>
            </w:pPr>
            <w:r w:rsidRPr="006E0389">
              <w:rPr>
                <w:rFonts w:asciiTheme="minorHAnsi" w:hAnsiTheme="minorHAnsi"/>
                <w:sz w:val="24"/>
                <w:szCs w:val="24"/>
              </w:rPr>
              <w:t xml:space="preserve">Des équipements </w:t>
            </w:r>
            <w:r w:rsidR="00D54C69" w:rsidRPr="006E0389">
              <w:rPr>
                <w:rFonts w:asciiTheme="minorHAnsi" w:hAnsiTheme="minorHAnsi"/>
                <w:sz w:val="24"/>
                <w:szCs w:val="24"/>
              </w:rPr>
              <w:t>standards</w:t>
            </w:r>
            <w:r w:rsidRPr="006E0389">
              <w:rPr>
                <w:rFonts w:asciiTheme="minorHAnsi" w:hAnsiTheme="minorHAnsi"/>
                <w:sz w:val="24"/>
                <w:szCs w:val="24"/>
              </w:rPr>
              <w:t xml:space="preserve"> de collecte ont été distribués à </w:t>
            </w:r>
            <w:r w:rsidR="00245A6F" w:rsidRPr="006E0389">
              <w:rPr>
                <w:rFonts w:asciiTheme="minorHAnsi" w:hAnsiTheme="minorHAnsi"/>
                <w:sz w:val="24"/>
                <w:szCs w:val="24"/>
              </w:rPr>
              <w:t xml:space="preserve">plusieurs </w:t>
            </w:r>
            <w:r w:rsidRPr="006E0389">
              <w:rPr>
                <w:rFonts w:asciiTheme="minorHAnsi" w:hAnsiTheme="minorHAnsi"/>
                <w:sz w:val="24"/>
                <w:szCs w:val="24"/>
              </w:rPr>
              <w:t>formations sanitaires publiques et privées (poubelles, sachets en couleur pour le tri, boites de sécurité, etc.). Le matériel de collecte, composé essentiellement de poubelles et de sacs en plastique, répond relativement aux normes des récipients devant contenir les déchets médicaux. La différenciation entre les couleurs des différentes poubelles est généralement respectée. Toutefois, l’insuffisance des dotations (boites de sécurités, poubelles de couleurs différentes, sachets en plastique, etc.) pourrait compromettre la durabilité du système de gestion basé sur la ségrégation à la source.</w:t>
            </w:r>
          </w:p>
          <w:p w:rsidR="002614AB" w:rsidRPr="006E0389" w:rsidRDefault="00F12CD2" w:rsidP="006E0389">
            <w:pPr>
              <w:pStyle w:val="BodyText"/>
              <w:spacing w:line="360" w:lineRule="auto"/>
              <w:rPr>
                <w:rFonts w:asciiTheme="minorHAnsi" w:hAnsiTheme="minorHAnsi"/>
                <w:sz w:val="24"/>
                <w:szCs w:val="24"/>
              </w:rPr>
            </w:pPr>
            <w:r w:rsidRPr="006E0389">
              <w:rPr>
                <w:rFonts w:asciiTheme="minorHAnsi" w:hAnsiTheme="minorHAnsi"/>
                <w:sz w:val="24"/>
                <w:szCs w:val="24"/>
              </w:rPr>
              <w:t xml:space="preserve">Cependant, la </w:t>
            </w:r>
            <w:r w:rsidR="002614AB" w:rsidRPr="006E0389">
              <w:rPr>
                <w:rFonts w:asciiTheme="minorHAnsi" w:hAnsiTheme="minorHAnsi"/>
                <w:sz w:val="24"/>
                <w:szCs w:val="24"/>
              </w:rPr>
              <w:t xml:space="preserve">GDBM dans les formations sanitaires présente quelques insuffisances, malgré les efforts notés dans certains centres de santé. Les contraintes majeures sont : </w:t>
            </w:r>
          </w:p>
          <w:p w:rsidR="002614AB" w:rsidRPr="006E0389" w:rsidRDefault="002614AB" w:rsidP="006E0389">
            <w:pPr>
              <w:pStyle w:val="Paragraphedeliste"/>
              <w:numPr>
                <w:ilvl w:val="0"/>
                <w:numId w:val="74"/>
              </w:numPr>
              <w:autoSpaceDE w:val="0"/>
              <w:autoSpaceDN w:val="0"/>
              <w:adjustRightInd w:val="0"/>
              <w:spacing w:line="360" w:lineRule="auto"/>
              <w:jc w:val="both"/>
              <w:rPr>
                <w:rFonts w:asciiTheme="minorHAnsi" w:hAnsiTheme="minorHAnsi"/>
                <w:color w:val="000000"/>
                <w:sz w:val="24"/>
                <w:szCs w:val="24"/>
              </w:rPr>
            </w:pPr>
            <w:r w:rsidRPr="006E0389">
              <w:rPr>
                <w:rFonts w:asciiTheme="minorHAnsi" w:hAnsiTheme="minorHAnsi"/>
                <w:color w:val="000000"/>
                <w:sz w:val="24"/>
                <w:szCs w:val="24"/>
              </w:rPr>
              <w:t xml:space="preserve">Absence de données fiables sur les quantités produites ; </w:t>
            </w:r>
          </w:p>
          <w:p w:rsidR="002614AB" w:rsidRPr="006E0389" w:rsidRDefault="002614AB" w:rsidP="006E0389">
            <w:pPr>
              <w:pStyle w:val="Paragraphedeliste"/>
              <w:numPr>
                <w:ilvl w:val="0"/>
                <w:numId w:val="74"/>
              </w:numPr>
              <w:autoSpaceDE w:val="0"/>
              <w:autoSpaceDN w:val="0"/>
              <w:adjustRightInd w:val="0"/>
              <w:spacing w:line="360" w:lineRule="auto"/>
              <w:jc w:val="both"/>
              <w:rPr>
                <w:rFonts w:asciiTheme="minorHAnsi" w:hAnsiTheme="minorHAnsi"/>
                <w:color w:val="000000"/>
                <w:sz w:val="24"/>
                <w:szCs w:val="24"/>
              </w:rPr>
            </w:pPr>
            <w:r w:rsidRPr="006E0389">
              <w:rPr>
                <w:rFonts w:asciiTheme="minorHAnsi" w:hAnsiTheme="minorHAnsi"/>
                <w:color w:val="000000"/>
                <w:sz w:val="24"/>
                <w:szCs w:val="24"/>
              </w:rPr>
              <w:t>Insuffisance de matériels appropriés de collecte et des équipements de protection des agents ;</w:t>
            </w:r>
          </w:p>
          <w:p w:rsidR="002614AB" w:rsidRPr="006E0389" w:rsidRDefault="002614AB" w:rsidP="006E0389">
            <w:pPr>
              <w:pStyle w:val="Paragraphedeliste"/>
              <w:numPr>
                <w:ilvl w:val="0"/>
                <w:numId w:val="74"/>
              </w:numPr>
              <w:autoSpaceDE w:val="0"/>
              <w:autoSpaceDN w:val="0"/>
              <w:adjustRightInd w:val="0"/>
              <w:spacing w:line="360" w:lineRule="auto"/>
              <w:jc w:val="both"/>
              <w:rPr>
                <w:rFonts w:asciiTheme="minorHAnsi" w:hAnsiTheme="minorHAnsi"/>
                <w:color w:val="000000"/>
                <w:sz w:val="24"/>
                <w:szCs w:val="24"/>
              </w:rPr>
            </w:pPr>
            <w:r w:rsidRPr="006E0389">
              <w:rPr>
                <w:rFonts w:asciiTheme="minorHAnsi" w:hAnsiTheme="minorHAnsi"/>
                <w:color w:val="000000"/>
                <w:sz w:val="24"/>
                <w:szCs w:val="24"/>
              </w:rPr>
              <w:t xml:space="preserve"> Tri non systématique et mélange des DBM avec les ordures ménagères ;</w:t>
            </w:r>
          </w:p>
          <w:p w:rsidR="002614AB" w:rsidRPr="006E0389" w:rsidRDefault="002614AB" w:rsidP="006E0389">
            <w:pPr>
              <w:pStyle w:val="Paragraphedeliste"/>
              <w:numPr>
                <w:ilvl w:val="0"/>
                <w:numId w:val="74"/>
              </w:numPr>
              <w:autoSpaceDE w:val="0"/>
              <w:autoSpaceDN w:val="0"/>
              <w:adjustRightInd w:val="0"/>
              <w:spacing w:line="360" w:lineRule="auto"/>
              <w:jc w:val="both"/>
              <w:rPr>
                <w:rFonts w:asciiTheme="minorHAnsi" w:hAnsiTheme="minorHAnsi"/>
                <w:color w:val="000000"/>
                <w:sz w:val="24"/>
                <w:szCs w:val="24"/>
              </w:rPr>
            </w:pPr>
            <w:r w:rsidRPr="006E0389">
              <w:rPr>
                <w:rFonts w:asciiTheme="minorHAnsi" w:hAnsiTheme="minorHAnsi"/>
                <w:color w:val="000000"/>
                <w:sz w:val="24"/>
                <w:szCs w:val="24"/>
              </w:rPr>
              <w:t xml:space="preserve"> Défaut de conception des incinérateurs artisanaux ;</w:t>
            </w:r>
          </w:p>
          <w:p w:rsidR="002614AB" w:rsidRPr="006E0389" w:rsidRDefault="002614AB" w:rsidP="006E0389">
            <w:pPr>
              <w:pStyle w:val="Paragraphedeliste"/>
              <w:numPr>
                <w:ilvl w:val="0"/>
                <w:numId w:val="74"/>
              </w:numPr>
              <w:autoSpaceDE w:val="0"/>
              <w:autoSpaceDN w:val="0"/>
              <w:adjustRightInd w:val="0"/>
              <w:spacing w:line="360" w:lineRule="auto"/>
              <w:jc w:val="both"/>
              <w:rPr>
                <w:rFonts w:asciiTheme="minorHAnsi" w:hAnsiTheme="minorHAnsi"/>
                <w:color w:val="000000"/>
                <w:sz w:val="24"/>
                <w:szCs w:val="24"/>
              </w:rPr>
            </w:pPr>
            <w:r w:rsidRPr="006E0389">
              <w:rPr>
                <w:rFonts w:asciiTheme="minorHAnsi" w:hAnsiTheme="minorHAnsi"/>
                <w:color w:val="000000"/>
                <w:sz w:val="24"/>
                <w:szCs w:val="24"/>
              </w:rPr>
              <w:t xml:space="preserve"> Non maîtrise des techniques de fonctionnement et d’entretien. </w:t>
            </w:r>
          </w:p>
          <w:p w:rsidR="00A4327E" w:rsidRPr="006E0389" w:rsidRDefault="002614AB">
            <w:pPr>
              <w:autoSpaceDE w:val="0"/>
              <w:autoSpaceDN w:val="0"/>
              <w:adjustRightInd w:val="0"/>
              <w:spacing w:line="360" w:lineRule="auto"/>
              <w:jc w:val="both"/>
              <w:rPr>
                <w:rFonts w:asciiTheme="minorHAnsi" w:hAnsiTheme="minorHAnsi"/>
                <w:color w:val="000000"/>
                <w:sz w:val="24"/>
                <w:szCs w:val="24"/>
              </w:rPr>
            </w:pPr>
            <w:r w:rsidRPr="006E0389">
              <w:rPr>
                <w:rFonts w:asciiTheme="minorHAnsi" w:hAnsiTheme="minorHAnsi"/>
                <w:color w:val="000000"/>
                <w:sz w:val="24"/>
                <w:szCs w:val="24"/>
              </w:rPr>
              <w:t xml:space="preserve"> Les comportements et pratiques dans la gestion des DD sont globalement médiocres.</w:t>
            </w:r>
          </w:p>
          <w:p w:rsidR="00E84636" w:rsidRPr="006E0389" w:rsidRDefault="00E84636">
            <w:pPr>
              <w:autoSpaceDE w:val="0"/>
              <w:autoSpaceDN w:val="0"/>
              <w:adjustRightInd w:val="0"/>
              <w:spacing w:line="360" w:lineRule="auto"/>
              <w:jc w:val="both"/>
              <w:rPr>
                <w:rFonts w:asciiTheme="minorHAnsi" w:hAnsiTheme="minorHAnsi"/>
                <w:color w:val="000000"/>
                <w:sz w:val="24"/>
                <w:szCs w:val="24"/>
              </w:rPr>
            </w:pPr>
            <w:r w:rsidRPr="006E0389">
              <w:rPr>
                <w:rFonts w:asciiTheme="minorHAnsi" w:hAnsiTheme="minorHAnsi"/>
                <w:color w:val="000000"/>
                <w:sz w:val="24"/>
                <w:szCs w:val="24"/>
              </w:rPr>
              <w:t>Aucune société privée n’est réellement active dans la GDD, ce qui constitue une contrainte majeure dans la professionnalisation du secteur. La faiblesse des ressources financières allouées à la gestion des DD constitue un facteur handicapant majeur dans la stratégie d’implication des privés dans la GDD. Moins de quarante pourcent (40%) des structures sanitaires gèrent bien les déchets biomédicaux</w:t>
            </w:r>
          </w:p>
          <w:p w:rsidR="00E84636" w:rsidRPr="006E0389" w:rsidRDefault="00E84636">
            <w:pPr>
              <w:autoSpaceDE w:val="0"/>
              <w:autoSpaceDN w:val="0"/>
              <w:adjustRightInd w:val="0"/>
              <w:spacing w:line="360" w:lineRule="auto"/>
              <w:jc w:val="both"/>
              <w:rPr>
                <w:rFonts w:asciiTheme="minorHAnsi" w:hAnsiTheme="minorHAnsi" w:cs="Tahoma"/>
                <w:b/>
                <w:sz w:val="24"/>
                <w:szCs w:val="24"/>
                <w:highlight w:val="yellow"/>
                <w:u w:val="single"/>
              </w:rPr>
            </w:pPr>
            <w:r w:rsidRPr="006E0389">
              <w:rPr>
                <w:rFonts w:asciiTheme="minorHAnsi" w:hAnsiTheme="minorHAnsi"/>
                <w:b/>
                <w:color w:val="000000"/>
                <w:sz w:val="24"/>
                <w:szCs w:val="24"/>
                <w:u w:val="single"/>
              </w:rPr>
              <w:t>Cible partiellement atteinte</w:t>
            </w:r>
          </w:p>
        </w:tc>
      </w:tr>
      <w:tr w:rsidR="001725BA" w:rsidRPr="00A929CE" w:rsidTr="008C046F">
        <w:tc>
          <w:tcPr>
            <w:tcW w:w="2439" w:type="dxa"/>
            <w:shd w:val="clear" w:color="auto" w:fill="BFBFBF" w:themeFill="background1" w:themeFillShade="BF"/>
          </w:tcPr>
          <w:p w:rsidR="001725BA" w:rsidRPr="00A929CE" w:rsidRDefault="001725BA" w:rsidP="001725BA">
            <w:pPr>
              <w:spacing w:line="360" w:lineRule="auto"/>
              <w:jc w:val="both"/>
              <w:rPr>
                <w:rFonts w:asciiTheme="minorHAnsi" w:hAnsiTheme="minorHAnsi" w:cs="Tahoma"/>
                <w:b/>
                <w:bCs/>
                <w:sz w:val="24"/>
                <w:szCs w:val="24"/>
                <w:lang w:eastAsia="en-GB"/>
              </w:rPr>
            </w:pPr>
            <w:r w:rsidRPr="00A929CE">
              <w:rPr>
                <w:rFonts w:asciiTheme="minorHAnsi" w:hAnsiTheme="minorHAnsi" w:cs="Tahoma"/>
                <w:b/>
                <w:bCs/>
                <w:sz w:val="24"/>
                <w:szCs w:val="24"/>
              </w:rPr>
              <w:t>R12 : Déchets plastiques</w:t>
            </w:r>
          </w:p>
        </w:tc>
        <w:tc>
          <w:tcPr>
            <w:tcW w:w="6804" w:type="dxa"/>
          </w:tcPr>
          <w:p w:rsidR="001725BA" w:rsidRPr="00A929CE" w:rsidRDefault="001725BA">
            <w:pPr>
              <w:autoSpaceDE w:val="0"/>
              <w:autoSpaceDN w:val="0"/>
              <w:adjustRightInd w:val="0"/>
              <w:spacing w:line="360" w:lineRule="auto"/>
              <w:jc w:val="both"/>
              <w:rPr>
                <w:rFonts w:asciiTheme="minorHAnsi" w:hAnsiTheme="minorHAnsi" w:cs="Tahoma"/>
                <w:sz w:val="24"/>
                <w:szCs w:val="24"/>
              </w:rPr>
            </w:pPr>
            <w:r w:rsidRPr="00A929CE">
              <w:rPr>
                <w:rFonts w:asciiTheme="minorHAnsi" w:hAnsiTheme="minorHAnsi" w:cs="Tahoma"/>
                <w:sz w:val="24"/>
                <w:szCs w:val="24"/>
              </w:rPr>
              <w:t>Les déchets plastiques sont collectés, conditionnés et traités par valorisation, régénération et valorisation énergétique dans des sites appropriés dans plus de 5</w:t>
            </w:r>
            <w:r w:rsidR="00CD5597">
              <w:rPr>
                <w:rFonts w:asciiTheme="minorHAnsi" w:hAnsiTheme="minorHAnsi" w:cs="Tahoma"/>
                <w:sz w:val="24"/>
                <w:szCs w:val="24"/>
              </w:rPr>
              <w:t>0</w:t>
            </w:r>
            <w:r w:rsidRPr="00A929CE">
              <w:rPr>
                <w:rFonts w:asciiTheme="minorHAnsi" w:hAnsiTheme="minorHAnsi" w:cs="Tahoma"/>
                <w:sz w:val="24"/>
                <w:szCs w:val="24"/>
              </w:rPr>
              <w:t>% des centres urbains et au moins 10% des centres semi urbains en 2015 au plus tard. Des opérations de collecte et de conditionnement sont organisées dans au moins 10% des villes de moins de 5.000 habitants en 2015</w:t>
            </w:r>
          </w:p>
        </w:tc>
        <w:tc>
          <w:tcPr>
            <w:tcW w:w="6379" w:type="dxa"/>
          </w:tcPr>
          <w:p w:rsidR="00F12CD2" w:rsidRPr="006E0389" w:rsidRDefault="00F12CD2" w:rsidP="006E0389">
            <w:pPr>
              <w:autoSpaceDE w:val="0"/>
              <w:autoSpaceDN w:val="0"/>
              <w:adjustRightInd w:val="0"/>
              <w:spacing w:line="360" w:lineRule="auto"/>
              <w:rPr>
                <w:rFonts w:asciiTheme="minorHAnsi" w:hAnsiTheme="minorHAnsi"/>
                <w:sz w:val="24"/>
                <w:szCs w:val="24"/>
              </w:rPr>
            </w:pPr>
            <w:r w:rsidRPr="006E0389">
              <w:rPr>
                <w:rFonts w:asciiTheme="minorHAnsi" w:hAnsiTheme="minorHAnsi"/>
                <w:sz w:val="24"/>
                <w:szCs w:val="24"/>
              </w:rPr>
              <w:t>Les thermoplastiques sont les plus couramment rencontrés au Mali sous formes de sachets, bidons, fûts, tuyaux, ustensiles entre autres). Les déchets plastiques sont générés par les activités industrielles, agricoles, commerciales et par la consommation des ménages. Ils constituent environ 3% du poids total des déchets solides mis en décharge.</w:t>
            </w:r>
          </w:p>
          <w:p w:rsidR="00F12CD2" w:rsidRPr="006E0389" w:rsidRDefault="00F12CD2" w:rsidP="006E0389">
            <w:pPr>
              <w:autoSpaceDE w:val="0"/>
              <w:autoSpaceDN w:val="0"/>
              <w:adjustRightInd w:val="0"/>
              <w:spacing w:line="360" w:lineRule="auto"/>
              <w:rPr>
                <w:rFonts w:asciiTheme="minorHAnsi" w:hAnsiTheme="minorHAnsi"/>
                <w:sz w:val="24"/>
                <w:szCs w:val="24"/>
              </w:rPr>
            </w:pPr>
            <w:r w:rsidRPr="006E0389">
              <w:rPr>
                <w:rFonts w:asciiTheme="minorHAnsi" w:hAnsiTheme="minorHAnsi"/>
                <w:sz w:val="24"/>
                <w:szCs w:val="24"/>
              </w:rPr>
              <w:t>La prolifération des sachets non recyclable constitue aujourd’hui une préoccupation nationale non seulement pour la santé humaine et animale mais également pour l’environnement.</w:t>
            </w:r>
            <w:r w:rsidR="002C34D3">
              <w:rPr>
                <w:rFonts w:asciiTheme="minorHAnsi" w:hAnsiTheme="minorHAnsi"/>
                <w:sz w:val="24"/>
                <w:szCs w:val="24"/>
              </w:rPr>
              <w:t xml:space="preserve"> </w:t>
            </w:r>
            <w:r w:rsidRPr="006E0389">
              <w:rPr>
                <w:rFonts w:asciiTheme="minorHAnsi" w:hAnsiTheme="minorHAnsi"/>
                <w:sz w:val="24"/>
                <w:szCs w:val="24"/>
              </w:rPr>
              <w:t>La collecte n’est pas structurée pour ce type de déchets. Les initiatives de collectes sont éparses et menées par les ménages, les GIE, les mairies et les unités industrielles de plasturgie pour des intérêts divers.</w:t>
            </w:r>
          </w:p>
          <w:p w:rsidR="00F12CD2" w:rsidRPr="006E0389" w:rsidRDefault="00F12CD2" w:rsidP="006E0389">
            <w:pPr>
              <w:autoSpaceDE w:val="0"/>
              <w:autoSpaceDN w:val="0"/>
              <w:adjustRightInd w:val="0"/>
              <w:spacing w:line="360" w:lineRule="auto"/>
              <w:rPr>
                <w:rFonts w:asciiTheme="minorHAnsi" w:hAnsiTheme="minorHAnsi"/>
                <w:sz w:val="24"/>
                <w:szCs w:val="24"/>
              </w:rPr>
            </w:pPr>
            <w:r w:rsidRPr="006E0389">
              <w:rPr>
                <w:rFonts w:asciiTheme="minorHAnsi" w:hAnsiTheme="minorHAnsi"/>
                <w:sz w:val="24"/>
                <w:szCs w:val="24"/>
              </w:rPr>
              <w:t>Le conditionnement obéit aux mêmes règles et dépend de l’usage auquel sont prédestinés les déchets plastiques collectés.</w:t>
            </w:r>
          </w:p>
          <w:p w:rsidR="00F12CD2" w:rsidRPr="006E0389" w:rsidRDefault="00F12CD2" w:rsidP="006E0389">
            <w:pPr>
              <w:autoSpaceDE w:val="0"/>
              <w:autoSpaceDN w:val="0"/>
              <w:adjustRightInd w:val="0"/>
              <w:spacing w:line="360" w:lineRule="auto"/>
              <w:rPr>
                <w:rFonts w:asciiTheme="minorHAnsi" w:hAnsiTheme="minorHAnsi"/>
                <w:sz w:val="24"/>
                <w:szCs w:val="24"/>
              </w:rPr>
            </w:pPr>
            <w:r w:rsidRPr="006E0389">
              <w:rPr>
                <w:rFonts w:asciiTheme="minorHAnsi" w:hAnsiTheme="minorHAnsi"/>
                <w:sz w:val="24"/>
                <w:szCs w:val="24"/>
              </w:rPr>
              <w:t xml:space="preserve">Les déchets plastiques sont soit recyclés (paniers, sacs, gadgets) soit broyés et transformés en granulats servant de matière première pour l’industrie plastique. </w:t>
            </w:r>
            <w:r w:rsidR="00C254E4" w:rsidRPr="006E0389">
              <w:rPr>
                <w:rFonts w:asciiTheme="minorHAnsi" w:hAnsiTheme="minorHAnsi"/>
                <w:sz w:val="24"/>
                <w:szCs w:val="24"/>
              </w:rPr>
              <w:t>En 2006, sur 17089 tonnes de déchets plastiques ; seuls1720 tonnes ont été recyclés. Ce qui fait environ 10%</w:t>
            </w:r>
          </w:p>
          <w:p w:rsidR="00C254E4" w:rsidRPr="006E0389" w:rsidRDefault="00C254E4" w:rsidP="006E0389">
            <w:pPr>
              <w:autoSpaceDE w:val="0"/>
              <w:autoSpaceDN w:val="0"/>
              <w:adjustRightInd w:val="0"/>
              <w:spacing w:line="360" w:lineRule="auto"/>
              <w:rPr>
                <w:rFonts w:asciiTheme="minorHAnsi" w:hAnsiTheme="minorHAnsi"/>
                <w:color w:val="333333"/>
                <w:sz w:val="24"/>
                <w:szCs w:val="24"/>
                <w:shd w:val="clear" w:color="auto" w:fill="FFFFFF"/>
              </w:rPr>
            </w:pPr>
            <w:r w:rsidRPr="006E0389">
              <w:rPr>
                <w:rFonts w:asciiTheme="minorHAnsi" w:hAnsiTheme="minorHAnsi"/>
                <w:sz w:val="24"/>
                <w:szCs w:val="24"/>
              </w:rPr>
              <w:t>A mise en application de l</w:t>
            </w:r>
            <w:r w:rsidRPr="006E0389">
              <w:rPr>
                <w:rFonts w:asciiTheme="minorHAnsi" w:hAnsiTheme="minorHAnsi"/>
                <w:color w:val="333333"/>
                <w:sz w:val="24"/>
                <w:szCs w:val="24"/>
                <w:shd w:val="clear" w:color="auto" w:fill="FFFFFF"/>
              </w:rPr>
              <w:t>a loi n°2014-024 du 3 juillet 2014 portant interdiction de la production, de l’importation et de la commercialisation des sachets plastiques non biodégradables en République du Mali, n’est pas effective.  </w:t>
            </w:r>
          </w:p>
          <w:p w:rsidR="00C254E4" w:rsidRPr="006E0389" w:rsidRDefault="00C254E4" w:rsidP="006E0389">
            <w:pPr>
              <w:autoSpaceDE w:val="0"/>
              <w:autoSpaceDN w:val="0"/>
              <w:adjustRightInd w:val="0"/>
              <w:spacing w:line="360" w:lineRule="auto"/>
              <w:rPr>
                <w:rFonts w:asciiTheme="minorHAnsi" w:hAnsiTheme="minorHAnsi"/>
                <w:b/>
                <w:sz w:val="24"/>
                <w:szCs w:val="24"/>
                <w:u w:val="single"/>
              </w:rPr>
            </w:pPr>
            <w:r w:rsidRPr="006E0389">
              <w:rPr>
                <w:rFonts w:asciiTheme="minorHAnsi" w:hAnsiTheme="minorHAnsi"/>
                <w:b/>
                <w:color w:val="333333"/>
                <w:sz w:val="24"/>
                <w:szCs w:val="24"/>
                <w:u w:val="single"/>
                <w:shd w:val="clear" w:color="auto" w:fill="FFFFFF"/>
              </w:rPr>
              <w:t>Cible non atteinte</w:t>
            </w:r>
          </w:p>
          <w:p w:rsidR="00F12CD2" w:rsidRPr="00E00A5E" w:rsidRDefault="00F12CD2">
            <w:pPr>
              <w:autoSpaceDE w:val="0"/>
              <w:autoSpaceDN w:val="0"/>
              <w:adjustRightInd w:val="0"/>
              <w:spacing w:line="360" w:lineRule="auto"/>
              <w:jc w:val="both"/>
              <w:rPr>
                <w:rFonts w:asciiTheme="minorHAnsi" w:hAnsiTheme="minorHAnsi" w:cs="Tahoma"/>
                <w:sz w:val="24"/>
                <w:szCs w:val="24"/>
                <w:highlight w:val="yellow"/>
              </w:rPr>
            </w:pPr>
          </w:p>
          <w:p w:rsidR="00F12CD2" w:rsidRPr="00E00A5E" w:rsidRDefault="00F12CD2">
            <w:pPr>
              <w:autoSpaceDE w:val="0"/>
              <w:autoSpaceDN w:val="0"/>
              <w:adjustRightInd w:val="0"/>
              <w:spacing w:line="360" w:lineRule="auto"/>
              <w:jc w:val="both"/>
              <w:rPr>
                <w:rFonts w:asciiTheme="minorHAnsi" w:hAnsiTheme="minorHAnsi" w:cs="Tahoma"/>
                <w:sz w:val="24"/>
                <w:szCs w:val="24"/>
                <w:highlight w:val="yellow"/>
              </w:rPr>
            </w:pPr>
          </w:p>
          <w:p w:rsidR="001725BA" w:rsidRPr="00E00A5E" w:rsidRDefault="001725BA">
            <w:pPr>
              <w:autoSpaceDE w:val="0"/>
              <w:autoSpaceDN w:val="0"/>
              <w:adjustRightInd w:val="0"/>
              <w:spacing w:line="360" w:lineRule="auto"/>
              <w:jc w:val="both"/>
              <w:rPr>
                <w:rFonts w:asciiTheme="minorHAnsi" w:hAnsiTheme="minorHAnsi" w:cs="Tahoma"/>
                <w:sz w:val="24"/>
                <w:szCs w:val="24"/>
                <w:highlight w:val="yellow"/>
              </w:rPr>
            </w:pPr>
          </w:p>
        </w:tc>
      </w:tr>
      <w:tr w:rsidR="001725BA" w:rsidRPr="00A929CE" w:rsidTr="008C046F">
        <w:tc>
          <w:tcPr>
            <w:tcW w:w="2439" w:type="dxa"/>
            <w:shd w:val="clear" w:color="auto" w:fill="BFBFBF" w:themeFill="background1" w:themeFillShade="BF"/>
          </w:tcPr>
          <w:p w:rsidR="001725BA" w:rsidRPr="00A929CE" w:rsidRDefault="001725BA" w:rsidP="001725BA">
            <w:pPr>
              <w:spacing w:line="360" w:lineRule="auto"/>
              <w:jc w:val="both"/>
              <w:rPr>
                <w:rFonts w:asciiTheme="minorHAnsi" w:hAnsiTheme="minorHAnsi" w:cs="Tahoma"/>
                <w:b/>
                <w:bCs/>
                <w:sz w:val="24"/>
                <w:szCs w:val="24"/>
              </w:rPr>
            </w:pPr>
            <w:r w:rsidRPr="00A929CE">
              <w:rPr>
                <w:rFonts w:asciiTheme="minorHAnsi" w:hAnsiTheme="minorHAnsi" w:cs="Tahoma"/>
                <w:b/>
                <w:bCs/>
                <w:sz w:val="24"/>
                <w:szCs w:val="24"/>
              </w:rPr>
              <w:t>R13 : Huiles usagées</w:t>
            </w:r>
          </w:p>
        </w:tc>
        <w:tc>
          <w:tcPr>
            <w:tcW w:w="6804" w:type="dxa"/>
          </w:tcPr>
          <w:p w:rsidR="001725BA" w:rsidRPr="00A929CE" w:rsidRDefault="001725BA" w:rsidP="001725BA">
            <w:pPr>
              <w:autoSpaceDE w:val="0"/>
              <w:autoSpaceDN w:val="0"/>
              <w:adjustRightInd w:val="0"/>
              <w:spacing w:line="360" w:lineRule="auto"/>
              <w:jc w:val="both"/>
              <w:rPr>
                <w:rFonts w:asciiTheme="minorHAnsi" w:hAnsiTheme="minorHAnsi" w:cs="Tahoma"/>
                <w:sz w:val="24"/>
                <w:szCs w:val="24"/>
              </w:rPr>
            </w:pPr>
            <w:r w:rsidRPr="00A929CE">
              <w:rPr>
                <w:rFonts w:asciiTheme="minorHAnsi" w:hAnsiTheme="minorHAnsi" w:cs="Tahoma"/>
                <w:sz w:val="24"/>
                <w:szCs w:val="24"/>
              </w:rPr>
              <w:t>L’ensemble des sites potentiels de production sont recensés, le circuit de production est maitrisé et des technologies de traitement identifiées avant fin 2010. Ils sont équipés de technologies adéquates de traitement dans au moins 50% des centres urbains, 30% des centres semi urbains et au moins 5 % des centres ruraux à l’horizon 2015</w:t>
            </w:r>
          </w:p>
        </w:tc>
        <w:tc>
          <w:tcPr>
            <w:tcW w:w="6379" w:type="dxa"/>
          </w:tcPr>
          <w:p w:rsidR="00F12CD2" w:rsidRPr="006E0389" w:rsidRDefault="00F12CD2" w:rsidP="006E0389">
            <w:pPr>
              <w:autoSpaceDE w:val="0"/>
              <w:autoSpaceDN w:val="0"/>
              <w:adjustRightInd w:val="0"/>
              <w:spacing w:line="276" w:lineRule="auto"/>
              <w:jc w:val="both"/>
              <w:rPr>
                <w:rFonts w:asciiTheme="minorHAnsi" w:hAnsiTheme="minorHAnsi"/>
                <w:sz w:val="24"/>
              </w:rPr>
            </w:pPr>
            <w:r w:rsidRPr="006E0389">
              <w:rPr>
                <w:rFonts w:asciiTheme="minorHAnsi" w:hAnsiTheme="minorHAnsi"/>
                <w:sz w:val="24"/>
              </w:rPr>
              <w:t>Les huiles usagées sont produites essentiellement dans les centrales électriques (EDM ou Industries), dans les stations-services et les garages automobiles lors des entretiens et les aires de lavage. Il est urgent de procéder à un inventaire des quantités produites au niveau des gros producteurs d’huiles usagées telles : ESKOM, TRANSRAIL, SHELL, TOTAL, COMANAV, ARMEE, EDM-SA.</w:t>
            </w:r>
          </w:p>
          <w:p w:rsidR="00F12CD2" w:rsidRPr="006E0389" w:rsidRDefault="00F12CD2" w:rsidP="006E0389">
            <w:pPr>
              <w:autoSpaceDE w:val="0"/>
              <w:autoSpaceDN w:val="0"/>
              <w:adjustRightInd w:val="0"/>
              <w:spacing w:line="276" w:lineRule="auto"/>
              <w:jc w:val="both"/>
              <w:rPr>
                <w:rFonts w:asciiTheme="minorHAnsi" w:hAnsiTheme="minorHAnsi"/>
                <w:sz w:val="24"/>
              </w:rPr>
            </w:pPr>
            <w:r w:rsidRPr="006E0389">
              <w:rPr>
                <w:rFonts w:asciiTheme="minorHAnsi" w:hAnsiTheme="minorHAnsi"/>
                <w:sz w:val="24"/>
              </w:rPr>
              <w:t>La collecte et le conditionnement structurés se font seulement au niveau des grandes compagnies pétrolières (Shell, Total) et les unités minières. Ailleurs les tentatives de collecte sont l’œuvre d’anonymes pour des intérêts divers.</w:t>
            </w:r>
          </w:p>
          <w:p w:rsidR="00F12CD2" w:rsidRPr="006E0389" w:rsidRDefault="00F12CD2" w:rsidP="006E0389">
            <w:pPr>
              <w:autoSpaceDE w:val="0"/>
              <w:autoSpaceDN w:val="0"/>
              <w:adjustRightInd w:val="0"/>
              <w:spacing w:line="276" w:lineRule="auto"/>
              <w:jc w:val="both"/>
              <w:rPr>
                <w:rFonts w:asciiTheme="minorHAnsi" w:hAnsiTheme="minorHAnsi"/>
                <w:sz w:val="24"/>
              </w:rPr>
            </w:pPr>
            <w:r w:rsidRPr="006E0389">
              <w:rPr>
                <w:rFonts w:asciiTheme="minorHAnsi" w:hAnsiTheme="minorHAnsi"/>
                <w:sz w:val="24"/>
              </w:rPr>
              <w:t>La quasi-totalité des unités industrielles, les centrales électriques et les stations de services ne sont pas équipées de dispositif de séparation d’eaux usées et d’huiles usagées. Les aires de lavage qui prolifèrent dans les villes ne sont pas équipées non plus et déversent eaux et huiles sur le sol et dans les émissaires.</w:t>
            </w:r>
          </w:p>
          <w:p w:rsidR="00F12CD2" w:rsidRPr="006E0389" w:rsidRDefault="00F12CD2" w:rsidP="006E0389">
            <w:pPr>
              <w:autoSpaceDE w:val="0"/>
              <w:autoSpaceDN w:val="0"/>
              <w:adjustRightInd w:val="0"/>
              <w:spacing w:line="276" w:lineRule="auto"/>
              <w:jc w:val="both"/>
              <w:rPr>
                <w:rFonts w:asciiTheme="minorHAnsi" w:hAnsiTheme="minorHAnsi"/>
                <w:sz w:val="24"/>
              </w:rPr>
            </w:pPr>
            <w:r w:rsidRPr="006E0389">
              <w:rPr>
                <w:rFonts w:asciiTheme="minorHAnsi" w:hAnsiTheme="minorHAnsi"/>
                <w:sz w:val="24"/>
              </w:rPr>
              <w:t xml:space="preserve">A </w:t>
            </w:r>
            <w:r w:rsidR="00DF77FC">
              <w:rPr>
                <w:rFonts w:asciiTheme="minorHAnsi" w:hAnsiTheme="minorHAnsi"/>
                <w:sz w:val="24"/>
              </w:rPr>
              <w:t xml:space="preserve">il </w:t>
            </w:r>
            <w:r w:rsidRPr="006E0389">
              <w:rPr>
                <w:rFonts w:asciiTheme="minorHAnsi" w:hAnsiTheme="minorHAnsi"/>
                <w:sz w:val="24"/>
              </w:rPr>
              <w:t xml:space="preserve">existe </w:t>
            </w:r>
            <w:r w:rsidR="00DF77FC" w:rsidRPr="00520E93">
              <w:rPr>
                <w:rFonts w:ascii="Times New Roman" w:hAnsi="Times New Roman" w:cs="Times New Roman"/>
                <w:color w:val="FF0000"/>
                <w:sz w:val="24"/>
              </w:rPr>
              <w:t xml:space="preserve">une </w:t>
            </w:r>
            <w:r w:rsidR="00DF77FC">
              <w:rPr>
                <w:rFonts w:ascii="Times New Roman" w:hAnsi="Times New Roman" w:cs="Times New Roman"/>
                <w:color w:val="FF0000"/>
                <w:sz w:val="24"/>
              </w:rPr>
              <w:t xml:space="preserve">seule </w:t>
            </w:r>
            <w:r w:rsidR="00DF77FC" w:rsidRPr="00520E93">
              <w:rPr>
                <w:rFonts w:ascii="Times New Roman" w:hAnsi="Times New Roman" w:cs="Times New Roman"/>
                <w:color w:val="FF0000"/>
                <w:sz w:val="24"/>
              </w:rPr>
              <w:t>usine de régénération des huiles usagées à Kita</w:t>
            </w:r>
            <w:r w:rsidR="00DF77FC">
              <w:rPr>
                <w:rFonts w:ascii="Times New Roman" w:hAnsi="Times New Roman" w:cs="Times New Roman"/>
                <w:color w:val="FF0000"/>
                <w:sz w:val="24"/>
              </w:rPr>
              <w:t>.</w:t>
            </w:r>
            <w:r w:rsidRPr="006E0389">
              <w:rPr>
                <w:rFonts w:asciiTheme="minorHAnsi" w:hAnsiTheme="minorHAnsi"/>
                <w:sz w:val="24"/>
              </w:rPr>
              <w:t xml:space="preserve"> Cependant, il existe des pratiques traditionnelles en matière de traitement anti-termites dans la construction, le déversement dans les rues pour servir de revêtement anti poussière et la lubrification des équipements.</w:t>
            </w:r>
          </w:p>
          <w:p w:rsidR="00F12CD2" w:rsidRPr="00F12CD2" w:rsidRDefault="00F12CD2">
            <w:pPr>
              <w:autoSpaceDE w:val="0"/>
              <w:autoSpaceDN w:val="0"/>
              <w:adjustRightInd w:val="0"/>
              <w:spacing w:line="360" w:lineRule="auto"/>
              <w:jc w:val="both"/>
              <w:rPr>
                <w:rFonts w:asciiTheme="minorHAnsi" w:hAnsiTheme="minorHAnsi" w:cs="Tahoma"/>
                <w:bCs/>
                <w:sz w:val="24"/>
                <w:szCs w:val="24"/>
                <w:highlight w:val="yellow"/>
                <w:u w:val="single"/>
              </w:rPr>
            </w:pPr>
          </w:p>
          <w:p w:rsidR="00FC6519" w:rsidRPr="006E0389" w:rsidRDefault="00FC6519">
            <w:pPr>
              <w:autoSpaceDE w:val="0"/>
              <w:autoSpaceDN w:val="0"/>
              <w:adjustRightInd w:val="0"/>
              <w:spacing w:line="360" w:lineRule="auto"/>
              <w:jc w:val="both"/>
              <w:rPr>
                <w:rFonts w:asciiTheme="minorHAnsi" w:hAnsiTheme="minorHAnsi" w:cs="Tahoma"/>
                <w:b/>
                <w:sz w:val="24"/>
                <w:szCs w:val="24"/>
                <w:u w:val="single"/>
              </w:rPr>
            </w:pPr>
            <w:r w:rsidRPr="006E0389">
              <w:rPr>
                <w:rFonts w:asciiTheme="minorHAnsi" w:hAnsiTheme="minorHAnsi" w:cs="Tahoma"/>
                <w:b/>
                <w:bCs/>
                <w:sz w:val="24"/>
                <w:szCs w:val="24"/>
                <w:u w:val="single"/>
              </w:rPr>
              <w:t>La cible est loin d’être atteinte</w:t>
            </w:r>
          </w:p>
          <w:p w:rsidR="001725BA" w:rsidRPr="00913F84" w:rsidRDefault="001725BA" w:rsidP="001725BA">
            <w:pPr>
              <w:autoSpaceDE w:val="0"/>
              <w:autoSpaceDN w:val="0"/>
              <w:adjustRightInd w:val="0"/>
              <w:spacing w:line="360" w:lineRule="auto"/>
              <w:jc w:val="both"/>
              <w:rPr>
                <w:rFonts w:asciiTheme="minorHAnsi" w:hAnsiTheme="minorHAnsi" w:cs="Tahoma"/>
                <w:b/>
                <w:sz w:val="24"/>
                <w:szCs w:val="24"/>
                <w:highlight w:val="yellow"/>
              </w:rPr>
            </w:pPr>
          </w:p>
        </w:tc>
      </w:tr>
      <w:tr w:rsidR="001725BA" w:rsidRPr="00A929CE" w:rsidTr="00D54C69">
        <w:trPr>
          <w:trHeight w:val="3422"/>
        </w:trPr>
        <w:tc>
          <w:tcPr>
            <w:tcW w:w="2439" w:type="dxa"/>
            <w:shd w:val="clear" w:color="auto" w:fill="BFBFBF" w:themeFill="background1" w:themeFillShade="BF"/>
          </w:tcPr>
          <w:p w:rsidR="001725BA" w:rsidRPr="00A929CE" w:rsidRDefault="001725BA" w:rsidP="001725BA">
            <w:pPr>
              <w:spacing w:line="360" w:lineRule="auto"/>
              <w:jc w:val="both"/>
              <w:rPr>
                <w:rFonts w:asciiTheme="minorHAnsi" w:hAnsiTheme="minorHAnsi" w:cs="Tahoma"/>
                <w:b/>
                <w:bCs/>
                <w:sz w:val="24"/>
                <w:szCs w:val="24"/>
              </w:rPr>
            </w:pPr>
            <w:r w:rsidRPr="00A929CE">
              <w:rPr>
                <w:rFonts w:asciiTheme="minorHAnsi" w:hAnsiTheme="minorHAnsi" w:cs="Tahoma"/>
                <w:b/>
                <w:bCs/>
                <w:sz w:val="24"/>
                <w:szCs w:val="24"/>
              </w:rPr>
              <w:t>R14 : Pesticides obsolètes, bidons, fûts et emballages usagés</w:t>
            </w:r>
          </w:p>
        </w:tc>
        <w:tc>
          <w:tcPr>
            <w:tcW w:w="6804" w:type="dxa"/>
          </w:tcPr>
          <w:p w:rsidR="001725BA" w:rsidRPr="00A929CE" w:rsidRDefault="001725BA" w:rsidP="001725BA">
            <w:pPr>
              <w:autoSpaceDE w:val="0"/>
              <w:autoSpaceDN w:val="0"/>
              <w:adjustRightInd w:val="0"/>
              <w:spacing w:line="360" w:lineRule="auto"/>
              <w:jc w:val="both"/>
              <w:rPr>
                <w:rFonts w:asciiTheme="minorHAnsi" w:hAnsiTheme="minorHAnsi" w:cs="Tahoma"/>
                <w:sz w:val="24"/>
                <w:szCs w:val="24"/>
              </w:rPr>
            </w:pPr>
            <w:r w:rsidRPr="00A929CE">
              <w:rPr>
                <w:rFonts w:asciiTheme="minorHAnsi" w:hAnsiTheme="minorHAnsi" w:cs="Tahoma"/>
                <w:sz w:val="24"/>
                <w:szCs w:val="24"/>
              </w:rPr>
              <w:t>Les pesticides obsolètes, bidons, fûts et emballages usagés sont maitrisés et éliminés, et la prévention de la constitution de nouveaux stocks est assurée efficacement. L’inventaire exhaustif des stocks est connu et actualisé tous les 2 ans, les stocks existants sont éliminés à au moins 70% en 2010 et au moins 90% en 2015</w:t>
            </w:r>
          </w:p>
        </w:tc>
        <w:tc>
          <w:tcPr>
            <w:tcW w:w="6379" w:type="dxa"/>
          </w:tcPr>
          <w:p w:rsidR="00E00A5E" w:rsidRPr="009278A9" w:rsidRDefault="00E00A5E" w:rsidP="00E00A5E">
            <w:pPr>
              <w:autoSpaceDE w:val="0"/>
              <w:autoSpaceDN w:val="0"/>
              <w:adjustRightInd w:val="0"/>
              <w:spacing w:line="276" w:lineRule="auto"/>
              <w:rPr>
                <w:rFonts w:ascii="Times New Roman" w:hAnsi="Times New Roman"/>
                <w:sz w:val="24"/>
              </w:rPr>
            </w:pPr>
            <w:r w:rsidRPr="009278A9">
              <w:rPr>
                <w:rFonts w:ascii="Times New Roman" w:hAnsi="Times New Roman"/>
                <w:sz w:val="24"/>
              </w:rPr>
              <w:t>Au Mali, les plus grands stocks de pesticides obsolètes se sont constitués lors des campagnes de lutte antiacridienne par les défuntes organisations régionales que sont l’OICMA et l’OCLALAV. D’autres stocks ont été constitués dans les zones de productions cotonnières de la CMDT et de l’OHVN.</w:t>
            </w:r>
          </w:p>
          <w:p w:rsidR="00E00A5E" w:rsidRPr="009278A9" w:rsidRDefault="00E00A5E" w:rsidP="00E00A5E">
            <w:pPr>
              <w:autoSpaceDE w:val="0"/>
              <w:autoSpaceDN w:val="0"/>
              <w:adjustRightInd w:val="0"/>
              <w:spacing w:line="276" w:lineRule="auto"/>
              <w:rPr>
                <w:rFonts w:ascii="Times New Roman" w:hAnsi="Times New Roman"/>
                <w:sz w:val="24"/>
              </w:rPr>
            </w:pPr>
            <w:r w:rsidRPr="009278A9">
              <w:rPr>
                <w:rFonts w:ascii="Times New Roman" w:hAnsi="Times New Roman"/>
                <w:sz w:val="24"/>
              </w:rPr>
              <w:t>L’inventaire national des stocks de pesticides obsolètes et des déchets apparentés, mené entre 2005 et 2006 par le PASP Mali donne 834 tonnes repartis sur 231 sites. Par ailleurs, il existe de grandes quantités de sols contaminés (Niogoméra, Kara, Molodo</w:t>
            </w:r>
            <w:r w:rsidR="00D54C69">
              <w:rPr>
                <w:rFonts w:ascii="Times New Roman" w:hAnsi="Times New Roman"/>
                <w:sz w:val="24"/>
              </w:rPr>
              <w:t>,</w:t>
            </w:r>
            <w:r w:rsidRPr="009278A9">
              <w:rPr>
                <w:rFonts w:ascii="Times New Roman" w:hAnsi="Times New Roman"/>
                <w:sz w:val="24"/>
              </w:rPr>
              <w:t xml:space="preserve"> Sévaré, Nara, Tin Essako et Anéfis).</w:t>
            </w:r>
          </w:p>
          <w:p w:rsidR="00E00A5E" w:rsidRPr="009278A9" w:rsidRDefault="00E00A5E" w:rsidP="00E00A5E">
            <w:pPr>
              <w:autoSpaceDE w:val="0"/>
              <w:autoSpaceDN w:val="0"/>
              <w:adjustRightInd w:val="0"/>
              <w:spacing w:line="276" w:lineRule="auto"/>
              <w:rPr>
                <w:rFonts w:ascii="Times New Roman" w:hAnsi="Times New Roman"/>
                <w:sz w:val="24"/>
              </w:rPr>
            </w:pPr>
            <w:r w:rsidRPr="009278A9">
              <w:rPr>
                <w:rFonts w:ascii="Times New Roman" w:hAnsi="Times New Roman"/>
                <w:sz w:val="24"/>
              </w:rPr>
              <w:t xml:space="preserve">Dans le cadre de la mise en œuvre du PASP Mali, la dieldrine (42.800 litres) de la base PV de Gao sur un total de 65.000 litres de pesticides obsolètes a été collectée et conditionnée dans des fûts et des sur fûts (sur conteneurs). </w:t>
            </w:r>
          </w:p>
          <w:p w:rsidR="00E00A5E" w:rsidRPr="009278A9" w:rsidRDefault="00E00A5E" w:rsidP="002C34D3">
            <w:pPr>
              <w:autoSpaceDE w:val="0"/>
              <w:autoSpaceDN w:val="0"/>
              <w:adjustRightInd w:val="0"/>
              <w:spacing w:line="276" w:lineRule="auto"/>
              <w:jc w:val="both"/>
              <w:rPr>
                <w:rFonts w:ascii="Times New Roman" w:hAnsi="Times New Roman"/>
                <w:sz w:val="24"/>
              </w:rPr>
            </w:pPr>
            <w:r>
              <w:rPr>
                <w:rFonts w:ascii="Times New Roman" w:hAnsi="Times New Roman"/>
                <w:sz w:val="24"/>
              </w:rPr>
              <w:t>E</w:t>
            </w:r>
            <w:r w:rsidRPr="009278A9">
              <w:rPr>
                <w:rFonts w:ascii="Times New Roman" w:hAnsi="Times New Roman"/>
                <w:sz w:val="24"/>
              </w:rPr>
              <w:t xml:space="preserve">n zones CMDT et OHVN, le conditionnement </w:t>
            </w:r>
            <w:r>
              <w:rPr>
                <w:rFonts w:ascii="Times New Roman" w:hAnsi="Times New Roman"/>
                <w:sz w:val="24"/>
              </w:rPr>
              <w:t xml:space="preserve">aujourd’hui </w:t>
            </w:r>
            <w:r w:rsidRPr="009278A9">
              <w:rPr>
                <w:rFonts w:ascii="Times New Roman" w:hAnsi="Times New Roman"/>
                <w:sz w:val="24"/>
              </w:rPr>
              <w:t xml:space="preserve">se fait dans des conteneurs et magasins </w:t>
            </w:r>
            <w:r>
              <w:rPr>
                <w:rFonts w:ascii="Times New Roman" w:hAnsi="Times New Roman"/>
                <w:sz w:val="24"/>
              </w:rPr>
              <w:t>a</w:t>
            </w:r>
            <w:r w:rsidRPr="009278A9">
              <w:rPr>
                <w:rFonts w:ascii="Times New Roman" w:hAnsi="Times New Roman"/>
                <w:sz w:val="24"/>
              </w:rPr>
              <w:t xml:space="preserve">ppropriés qui </w:t>
            </w:r>
            <w:r>
              <w:rPr>
                <w:rFonts w:ascii="Times New Roman" w:hAnsi="Times New Roman"/>
                <w:sz w:val="24"/>
              </w:rPr>
              <w:t xml:space="preserve">ne </w:t>
            </w:r>
            <w:r w:rsidRPr="009278A9">
              <w:rPr>
                <w:rFonts w:ascii="Times New Roman" w:hAnsi="Times New Roman"/>
                <w:sz w:val="24"/>
              </w:rPr>
              <w:t xml:space="preserve">constituent </w:t>
            </w:r>
            <w:r>
              <w:rPr>
                <w:rFonts w:ascii="Times New Roman" w:hAnsi="Times New Roman"/>
                <w:sz w:val="24"/>
              </w:rPr>
              <w:t xml:space="preserve">plus </w:t>
            </w:r>
            <w:r w:rsidRPr="009278A9">
              <w:rPr>
                <w:rFonts w:ascii="Times New Roman" w:hAnsi="Times New Roman"/>
                <w:sz w:val="24"/>
              </w:rPr>
              <w:t>de menaces sérieuses pour la santé et l’environnement.</w:t>
            </w:r>
            <w:r w:rsidR="002C34D3">
              <w:rPr>
                <w:rFonts w:ascii="Times New Roman" w:hAnsi="Times New Roman"/>
                <w:sz w:val="24"/>
              </w:rPr>
              <w:t xml:space="preserve"> </w:t>
            </w:r>
            <w:r w:rsidRPr="009278A9">
              <w:rPr>
                <w:rFonts w:ascii="Times New Roman" w:hAnsi="Times New Roman"/>
                <w:sz w:val="24"/>
              </w:rPr>
              <w:t xml:space="preserve">Le traitement in situ </w:t>
            </w:r>
            <w:r>
              <w:rPr>
                <w:rFonts w:ascii="Times New Roman" w:hAnsi="Times New Roman"/>
                <w:sz w:val="24"/>
              </w:rPr>
              <w:t>reste difficile</w:t>
            </w:r>
            <w:r w:rsidRPr="009278A9">
              <w:rPr>
                <w:rFonts w:ascii="Times New Roman" w:hAnsi="Times New Roman"/>
                <w:sz w:val="24"/>
              </w:rPr>
              <w:t>. Cependant, dans le cadre de la mise en œuvre du PASP, une quantité importante de pesticides obsolètes et déchets apparentés a été conditionnée et envoyée pour élimination dans un centre de traitement approprié en Europe.</w:t>
            </w:r>
          </w:p>
          <w:p w:rsidR="00E00A5E" w:rsidRDefault="00E00A5E" w:rsidP="00FC6519">
            <w:pPr>
              <w:autoSpaceDE w:val="0"/>
              <w:autoSpaceDN w:val="0"/>
              <w:adjustRightInd w:val="0"/>
              <w:spacing w:line="360" w:lineRule="auto"/>
              <w:jc w:val="both"/>
              <w:rPr>
                <w:rFonts w:asciiTheme="minorHAnsi" w:hAnsiTheme="minorHAnsi" w:cs="Tahoma"/>
                <w:sz w:val="24"/>
                <w:szCs w:val="24"/>
                <w:highlight w:val="yellow"/>
              </w:rPr>
            </w:pPr>
          </w:p>
          <w:p w:rsidR="00FC6519" w:rsidRPr="00913F84" w:rsidRDefault="00FC6519" w:rsidP="00FC6519">
            <w:pPr>
              <w:autoSpaceDE w:val="0"/>
              <w:autoSpaceDN w:val="0"/>
              <w:adjustRightInd w:val="0"/>
              <w:spacing w:line="360" w:lineRule="auto"/>
              <w:jc w:val="both"/>
              <w:rPr>
                <w:rFonts w:asciiTheme="minorHAnsi" w:hAnsiTheme="minorHAnsi" w:cs="Tahoma"/>
                <w:b/>
                <w:sz w:val="24"/>
                <w:szCs w:val="24"/>
                <w:highlight w:val="yellow"/>
              </w:rPr>
            </w:pPr>
            <w:r w:rsidRPr="006E0389">
              <w:rPr>
                <w:rFonts w:asciiTheme="minorHAnsi" w:hAnsiTheme="minorHAnsi" w:cs="Tahoma"/>
                <w:b/>
                <w:bCs/>
                <w:sz w:val="24"/>
                <w:szCs w:val="24"/>
                <w:u w:val="single"/>
              </w:rPr>
              <w:t>Objectif partiellement atteint</w:t>
            </w:r>
          </w:p>
        </w:tc>
      </w:tr>
      <w:tr w:rsidR="00DC314D" w:rsidRPr="00A929CE" w:rsidTr="008C046F">
        <w:tc>
          <w:tcPr>
            <w:tcW w:w="2439" w:type="dxa"/>
            <w:shd w:val="clear" w:color="auto" w:fill="BFBFBF" w:themeFill="background1" w:themeFillShade="BF"/>
          </w:tcPr>
          <w:p w:rsidR="00DC314D" w:rsidRPr="00A929CE" w:rsidRDefault="00DC314D" w:rsidP="00DC314D">
            <w:pPr>
              <w:spacing w:line="360" w:lineRule="auto"/>
              <w:jc w:val="both"/>
              <w:rPr>
                <w:rFonts w:asciiTheme="minorHAnsi" w:hAnsiTheme="minorHAnsi" w:cs="Tahoma"/>
                <w:b/>
                <w:bCs/>
                <w:sz w:val="24"/>
                <w:szCs w:val="24"/>
              </w:rPr>
            </w:pPr>
            <w:r w:rsidRPr="00A929CE">
              <w:rPr>
                <w:rFonts w:asciiTheme="minorHAnsi" w:hAnsiTheme="minorHAnsi" w:cs="Tahoma"/>
                <w:b/>
                <w:bCs/>
                <w:sz w:val="24"/>
                <w:szCs w:val="24"/>
              </w:rPr>
              <w:t>R15 : PCB et PCT</w:t>
            </w:r>
          </w:p>
        </w:tc>
        <w:tc>
          <w:tcPr>
            <w:tcW w:w="6804" w:type="dxa"/>
          </w:tcPr>
          <w:p w:rsidR="00DC314D" w:rsidRPr="00A929CE" w:rsidRDefault="00DC314D" w:rsidP="00DC314D">
            <w:pPr>
              <w:autoSpaceDE w:val="0"/>
              <w:autoSpaceDN w:val="0"/>
              <w:adjustRightInd w:val="0"/>
              <w:spacing w:line="360" w:lineRule="auto"/>
              <w:jc w:val="both"/>
              <w:rPr>
                <w:rFonts w:asciiTheme="minorHAnsi" w:hAnsiTheme="minorHAnsi" w:cs="Tahoma"/>
                <w:sz w:val="24"/>
                <w:szCs w:val="24"/>
              </w:rPr>
            </w:pPr>
            <w:r w:rsidRPr="00A929CE">
              <w:rPr>
                <w:rFonts w:asciiTheme="minorHAnsi" w:hAnsiTheme="minorHAnsi" w:cs="Tahoma"/>
                <w:sz w:val="24"/>
                <w:szCs w:val="24"/>
              </w:rPr>
              <w:t>Les PCB et PCT sont inventoriés, classifiés et traités par reformulation ou incinération. L’inventaire est réactualisé tous les deux ans. 50% au moins des villes urbaines sont équipés de technologies de traitement des PCB et PCT avant fin 2015</w:t>
            </w:r>
          </w:p>
        </w:tc>
        <w:tc>
          <w:tcPr>
            <w:tcW w:w="6379" w:type="dxa"/>
          </w:tcPr>
          <w:p w:rsidR="00A004B7" w:rsidRPr="00D54C69" w:rsidRDefault="00A004B7" w:rsidP="00A004B7">
            <w:pPr>
              <w:autoSpaceDE w:val="0"/>
              <w:autoSpaceDN w:val="0"/>
              <w:adjustRightInd w:val="0"/>
              <w:spacing w:line="276" w:lineRule="auto"/>
              <w:rPr>
                <w:rFonts w:ascii="Times New Roman" w:hAnsi="Times New Roman"/>
                <w:sz w:val="22"/>
              </w:rPr>
            </w:pPr>
            <w:r w:rsidRPr="00D54C69">
              <w:rPr>
                <w:rFonts w:ascii="Times New Roman" w:hAnsi="Times New Roman"/>
                <w:sz w:val="22"/>
              </w:rPr>
              <w:t>Au Mali la société EDM est le plus gros détenteur d’équipements aux PCB et PCT. Par ailleurs, l’inventaire national des PCB en 2003 a révélé 800 kg d’askarel dans l’usine III CMDT de Koutiala.</w:t>
            </w:r>
          </w:p>
          <w:p w:rsidR="00A004B7" w:rsidRPr="00D54C69" w:rsidRDefault="00A004B7" w:rsidP="002C34D3">
            <w:pPr>
              <w:autoSpaceDE w:val="0"/>
              <w:autoSpaceDN w:val="0"/>
              <w:adjustRightInd w:val="0"/>
              <w:spacing w:line="276" w:lineRule="auto"/>
              <w:jc w:val="both"/>
              <w:rPr>
                <w:rFonts w:ascii="Times New Roman" w:hAnsi="Times New Roman"/>
                <w:sz w:val="22"/>
              </w:rPr>
            </w:pPr>
            <w:r w:rsidRPr="00D54C69">
              <w:rPr>
                <w:rFonts w:ascii="Times New Roman" w:hAnsi="Times New Roman"/>
                <w:sz w:val="22"/>
              </w:rPr>
              <w:t>Dans le cadre de la mise en œuvre de la convention de Stockholm sur les POP la présence de PCT dans les transformateurs a été établie. Ces deux types produits, concernés par l’annexe 3 de la Convention de Rotterdam, ont fait l’objet d’une décision d’interdiction d’importation au Mali.</w:t>
            </w:r>
          </w:p>
          <w:p w:rsidR="00A004B7" w:rsidRPr="00D54C69" w:rsidRDefault="00A004B7" w:rsidP="00A004B7">
            <w:pPr>
              <w:autoSpaceDE w:val="0"/>
              <w:autoSpaceDN w:val="0"/>
              <w:adjustRightInd w:val="0"/>
              <w:spacing w:line="360" w:lineRule="auto"/>
              <w:jc w:val="both"/>
              <w:rPr>
                <w:rFonts w:asciiTheme="minorHAnsi" w:hAnsiTheme="minorHAnsi" w:cstheme="minorHAnsi"/>
                <w:sz w:val="22"/>
                <w:highlight w:val="yellow"/>
              </w:rPr>
            </w:pPr>
            <w:r w:rsidRPr="00D54C69">
              <w:rPr>
                <w:rFonts w:ascii="Times New Roman" w:hAnsi="Times New Roman"/>
                <w:sz w:val="22"/>
              </w:rPr>
              <w:t>Après l’inventaire national des PCB conduit en 2003, aucune collecte encore moins un conditionnement n’a été entrepris par rapport aux équipements électriques contenant des PCB et PCT et les huiles diélectriques</w:t>
            </w:r>
          </w:p>
          <w:p w:rsidR="00DC314D" w:rsidRPr="00D54C69" w:rsidRDefault="00A004B7" w:rsidP="00DC314D">
            <w:pPr>
              <w:autoSpaceDE w:val="0"/>
              <w:autoSpaceDN w:val="0"/>
              <w:adjustRightInd w:val="0"/>
              <w:spacing w:line="360" w:lineRule="auto"/>
              <w:jc w:val="both"/>
              <w:rPr>
                <w:rFonts w:asciiTheme="minorHAnsi" w:hAnsiTheme="minorHAnsi" w:cstheme="minorHAnsi"/>
                <w:b/>
                <w:sz w:val="22"/>
              </w:rPr>
            </w:pPr>
            <w:r w:rsidRPr="00D54C69">
              <w:rPr>
                <w:rFonts w:asciiTheme="minorHAnsi" w:hAnsiTheme="minorHAnsi" w:cstheme="minorHAnsi"/>
                <w:b/>
                <w:sz w:val="22"/>
              </w:rPr>
              <w:t>Cible très partiellement atteinte</w:t>
            </w:r>
          </w:p>
          <w:p w:rsidR="00DC314D" w:rsidRPr="00D54C69" w:rsidRDefault="00DC314D" w:rsidP="00DC314D">
            <w:pPr>
              <w:autoSpaceDE w:val="0"/>
              <w:autoSpaceDN w:val="0"/>
              <w:adjustRightInd w:val="0"/>
              <w:spacing w:line="360" w:lineRule="auto"/>
              <w:jc w:val="both"/>
              <w:rPr>
                <w:rFonts w:asciiTheme="minorHAnsi" w:hAnsiTheme="minorHAnsi" w:cs="Tahoma"/>
                <w:b/>
                <w:sz w:val="22"/>
                <w:highlight w:val="yellow"/>
              </w:rPr>
            </w:pPr>
          </w:p>
        </w:tc>
      </w:tr>
      <w:tr w:rsidR="00DC314D" w:rsidRPr="00A929CE" w:rsidTr="008C046F">
        <w:tc>
          <w:tcPr>
            <w:tcW w:w="2439" w:type="dxa"/>
            <w:shd w:val="clear" w:color="auto" w:fill="BFBFBF" w:themeFill="background1" w:themeFillShade="BF"/>
          </w:tcPr>
          <w:p w:rsidR="00DC314D" w:rsidRPr="00A929CE" w:rsidRDefault="00DC314D" w:rsidP="00DC314D">
            <w:pPr>
              <w:spacing w:line="360" w:lineRule="auto"/>
              <w:jc w:val="both"/>
              <w:rPr>
                <w:rFonts w:asciiTheme="minorHAnsi" w:hAnsiTheme="minorHAnsi" w:cs="Tahoma"/>
                <w:b/>
                <w:bCs/>
                <w:sz w:val="24"/>
                <w:szCs w:val="24"/>
              </w:rPr>
            </w:pPr>
            <w:r w:rsidRPr="00A929CE">
              <w:rPr>
                <w:rFonts w:asciiTheme="minorHAnsi" w:hAnsiTheme="minorHAnsi" w:cs="Tahoma"/>
                <w:b/>
                <w:bCs/>
                <w:sz w:val="24"/>
                <w:szCs w:val="24"/>
              </w:rPr>
              <w:t>R16 : Piles et accumulateurs usagés</w:t>
            </w:r>
          </w:p>
        </w:tc>
        <w:tc>
          <w:tcPr>
            <w:tcW w:w="6804" w:type="dxa"/>
          </w:tcPr>
          <w:p w:rsidR="00DC314D" w:rsidRPr="00A929CE" w:rsidRDefault="00DC314D" w:rsidP="00DC314D">
            <w:pPr>
              <w:autoSpaceDE w:val="0"/>
              <w:autoSpaceDN w:val="0"/>
              <w:adjustRightInd w:val="0"/>
              <w:spacing w:line="360" w:lineRule="auto"/>
              <w:jc w:val="both"/>
              <w:rPr>
                <w:rFonts w:asciiTheme="minorHAnsi" w:hAnsiTheme="minorHAnsi" w:cs="Tahoma"/>
                <w:sz w:val="24"/>
                <w:szCs w:val="24"/>
              </w:rPr>
            </w:pPr>
            <w:r w:rsidRPr="00A929CE">
              <w:rPr>
                <w:rFonts w:asciiTheme="minorHAnsi" w:hAnsiTheme="minorHAnsi" w:cs="Tahoma"/>
                <w:sz w:val="24"/>
                <w:szCs w:val="24"/>
              </w:rPr>
              <w:t>Un inventaire des sources potentielles de production est réalisé avant fin 2010 et au moins 50% des centres urbains sont dotés de technologies de traitement adéquat avant fin 2015</w:t>
            </w:r>
          </w:p>
        </w:tc>
        <w:tc>
          <w:tcPr>
            <w:tcW w:w="6379" w:type="dxa"/>
          </w:tcPr>
          <w:p w:rsidR="00A004B7" w:rsidRPr="006E0389" w:rsidRDefault="00A004B7" w:rsidP="006E0389">
            <w:pPr>
              <w:autoSpaceDE w:val="0"/>
              <w:autoSpaceDN w:val="0"/>
              <w:adjustRightInd w:val="0"/>
              <w:spacing w:line="360" w:lineRule="auto"/>
              <w:jc w:val="both"/>
              <w:rPr>
                <w:rFonts w:asciiTheme="minorHAnsi" w:hAnsiTheme="minorHAnsi"/>
                <w:sz w:val="24"/>
              </w:rPr>
            </w:pPr>
            <w:r w:rsidRPr="006E0389">
              <w:rPr>
                <w:rFonts w:asciiTheme="minorHAnsi" w:hAnsiTheme="minorHAnsi"/>
                <w:sz w:val="24"/>
              </w:rPr>
              <w:t>Il n’existe aucune statistique sur les piles et accumulateurs usagés produits. Les quelques rares cas de collecte et de conditionnement sont le fruit d’initiatives privées</w:t>
            </w:r>
          </w:p>
          <w:p w:rsidR="00A004B7" w:rsidRPr="006E0389" w:rsidRDefault="00A004B7" w:rsidP="006E0389">
            <w:pPr>
              <w:autoSpaceDE w:val="0"/>
              <w:autoSpaceDN w:val="0"/>
              <w:adjustRightInd w:val="0"/>
              <w:spacing w:line="360" w:lineRule="auto"/>
              <w:jc w:val="both"/>
              <w:rPr>
                <w:rFonts w:asciiTheme="minorHAnsi" w:hAnsiTheme="minorHAnsi"/>
                <w:sz w:val="24"/>
              </w:rPr>
            </w:pPr>
            <w:r w:rsidRPr="006E0389">
              <w:rPr>
                <w:rFonts w:asciiTheme="minorHAnsi" w:hAnsiTheme="minorHAnsi"/>
                <w:sz w:val="24"/>
              </w:rPr>
              <w:t>(GIE et artisans). Dans le cadre de la récupération et de la revalorisation artisanale, l’Entreprise de Revalorisation et de Récupération des déchets (ENREVAL) et d’autres entreprises récupèrent le zinc des piles usagées et le destinent à un commerce avec des partenaires étrangers.</w:t>
            </w:r>
          </w:p>
          <w:p w:rsidR="00A004B7" w:rsidRPr="006E0389" w:rsidRDefault="00A004B7">
            <w:pPr>
              <w:autoSpaceDE w:val="0"/>
              <w:autoSpaceDN w:val="0"/>
              <w:adjustRightInd w:val="0"/>
              <w:spacing w:line="360" w:lineRule="auto"/>
              <w:jc w:val="both"/>
              <w:rPr>
                <w:rFonts w:asciiTheme="minorHAnsi" w:hAnsiTheme="minorHAnsi" w:cstheme="minorHAnsi"/>
                <w:sz w:val="24"/>
                <w:szCs w:val="24"/>
              </w:rPr>
            </w:pPr>
          </w:p>
          <w:p w:rsidR="00A004B7" w:rsidRPr="006E0389" w:rsidRDefault="00A004B7" w:rsidP="00DC314D">
            <w:pPr>
              <w:autoSpaceDE w:val="0"/>
              <w:autoSpaceDN w:val="0"/>
              <w:adjustRightInd w:val="0"/>
              <w:spacing w:line="360" w:lineRule="auto"/>
              <w:jc w:val="both"/>
              <w:rPr>
                <w:rFonts w:asciiTheme="minorHAnsi" w:hAnsiTheme="minorHAnsi" w:cstheme="minorHAnsi"/>
                <w:sz w:val="24"/>
                <w:szCs w:val="24"/>
              </w:rPr>
            </w:pPr>
          </w:p>
          <w:p w:rsidR="00DC314D" w:rsidRPr="006E0389" w:rsidRDefault="00A004B7" w:rsidP="00DC314D">
            <w:pPr>
              <w:autoSpaceDE w:val="0"/>
              <w:autoSpaceDN w:val="0"/>
              <w:adjustRightInd w:val="0"/>
              <w:spacing w:line="360" w:lineRule="auto"/>
              <w:jc w:val="both"/>
              <w:rPr>
                <w:rFonts w:asciiTheme="minorHAnsi" w:hAnsiTheme="minorHAnsi" w:cstheme="minorHAnsi"/>
                <w:b/>
                <w:sz w:val="24"/>
                <w:szCs w:val="24"/>
                <w:u w:val="single"/>
              </w:rPr>
            </w:pPr>
            <w:r w:rsidRPr="006E0389">
              <w:rPr>
                <w:rFonts w:asciiTheme="minorHAnsi" w:hAnsiTheme="minorHAnsi" w:cstheme="minorHAnsi"/>
                <w:b/>
                <w:sz w:val="24"/>
                <w:szCs w:val="24"/>
                <w:u w:val="single"/>
              </w:rPr>
              <w:t>Cible non atteinte</w:t>
            </w:r>
          </w:p>
          <w:p w:rsidR="00DC314D" w:rsidRPr="006E0389" w:rsidRDefault="00DC314D" w:rsidP="00DC314D">
            <w:pPr>
              <w:autoSpaceDE w:val="0"/>
              <w:autoSpaceDN w:val="0"/>
              <w:adjustRightInd w:val="0"/>
              <w:spacing w:line="360" w:lineRule="auto"/>
              <w:jc w:val="both"/>
              <w:rPr>
                <w:rFonts w:asciiTheme="minorHAnsi" w:hAnsiTheme="minorHAnsi" w:cs="Tahoma"/>
                <w:b/>
                <w:sz w:val="24"/>
                <w:szCs w:val="24"/>
              </w:rPr>
            </w:pPr>
          </w:p>
        </w:tc>
      </w:tr>
      <w:tr w:rsidR="00DC314D" w:rsidRPr="00A929CE" w:rsidTr="008C046F">
        <w:tc>
          <w:tcPr>
            <w:tcW w:w="2439" w:type="dxa"/>
            <w:shd w:val="clear" w:color="auto" w:fill="BFBFBF" w:themeFill="background1" w:themeFillShade="BF"/>
          </w:tcPr>
          <w:p w:rsidR="00DC314D" w:rsidRPr="00A929CE" w:rsidRDefault="00DC314D" w:rsidP="00DC314D">
            <w:pPr>
              <w:spacing w:line="360" w:lineRule="auto"/>
              <w:jc w:val="both"/>
              <w:rPr>
                <w:rFonts w:asciiTheme="minorHAnsi" w:hAnsiTheme="minorHAnsi" w:cs="Tahoma"/>
                <w:b/>
                <w:bCs/>
                <w:sz w:val="24"/>
                <w:szCs w:val="24"/>
              </w:rPr>
            </w:pPr>
            <w:r w:rsidRPr="00A929CE">
              <w:rPr>
                <w:rFonts w:asciiTheme="minorHAnsi" w:hAnsiTheme="minorHAnsi" w:cs="Tahoma"/>
                <w:b/>
                <w:bCs/>
                <w:sz w:val="24"/>
                <w:szCs w:val="24"/>
              </w:rPr>
              <w:t>R17 : Déchets radioactifs</w:t>
            </w:r>
          </w:p>
        </w:tc>
        <w:tc>
          <w:tcPr>
            <w:tcW w:w="6804" w:type="dxa"/>
          </w:tcPr>
          <w:p w:rsidR="00DC314D" w:rsidRPr="00A929CE" w:rsidRDefault="00DC314D" w:rsidP="00DC314D">
            <w:pPr>
              <w:autoSpaceDE w:val="0"/>
              <w:autoSpaceDN w:val="0"/>
              <w:adjustRightInd w:val="0"/>
              <w:spacing w:line="360" w:lineRule="auto"/>
              <w:jc w:val="both"/>
              <w:rPr>
                <w:rFonts w:asciiTheme="minorHAnsi" w:hAnsiTheme="minorHAnsi" w:cs="Tahoma"/>
                <w:sz w:val="24"/>
                <w:szCs w:val="24"/>
              </w:rPr>
            </w:pPr>
            <w:r w:rsidRPr="00A929CE">
              <w:rPr>
                <w:rFonts w:asciiTheme="minorHAnsi" w:hAnsiTheme="minorHAnsi" w:cs="Tahoma"/>
                <w:sz w:val="24"/>
                <w:szCs w:val="24"/>
              </w:rPr>
              <w:t>Cette orientation est effective dans 100% des capitales régionales et du District de Bamako d’une part et dans au moins 30% des autres centres urbains avant fin 2015</w:t>
            </w:r>
          </w:p>
        </w:tc>
        <w:tc>
          <w:tcPr>
            <w:tcW w:w="6379" w:type="dxa"/>
          </w:tcPr>
          <w:p w:rsidR="00A004B7" w:rsidRPr="006E0389" w:rsidRDefault="00A004B7" w:rsidP="006E0389">
            <w:pPr>
              <w:autoSpaceDE w:val="0"/>
              <w:autoSpaceDN w:val="0"/>
              <w:adjustRightInd w:val="0"/>
              <w:spacing w:line="360" w:lineRule="auto"/>
              <w:rPr>
                <w:rFonts w:asciiTheme="minorHAnsi" w:hAnsiTheme="minorHAnsi"/>
                <w:sz w:val="24"/>
              </w:rPr>
            </w:pPr>
            <w:r w:rsidRPr="006E0389">
              <w:rPr>
                <w:rFonts w:asciiTheme="minorHAnsi" w:hAnsiTheme="minorHAnsi"/>
                <w:sz w:val="24"/>
              </w:rPr>
              <w:t>Au Mali, à l’exception du Centre de Médecine nucléaire à l’hôpital du Point G, il n’existe pas d’activités nucléaires (exploitation de minerais, production électronucléaire), de radiothérapie, les matières radioactives contenues dans les sources scellées (irradiateurs, jauges de mesure et équipements de radiographie industrielle) et les sources non scellées utilisées dans la recherche constituent l’essentiel des gisements des déchets radioactifs.</w:t>
            </w:r>
          </w:p>
          <w:p w:rsidR="00A004B7" w:rsidRPr="006E0389" w:rsidRDefault="00A004B7" w:rsidP="006E0389">
            <w:pPr>
              <w:autoSpaceDE w:val="0"/>
              <w:autoSpaceDN w:val="0"/>
              <w:adjustRightInd w:val="0"/>
              <w:spacing w:line="360" w:lineRule="auto"/>
              <w:rPr>
                <w:rFonts w:asciiTheme="minorHAnsi" w:hAnsiTheme="minorHAnsi"/>
                <w:sz w:val="24"/>
              </w:rPr>
            </w:pPr>
            <w:r w:rsidRPr="006E0389">
              <w:rPr>
                <w:rFonts w:asciiTheme="minorHAnsi" w:hAnsiTheme="minorHAnsi"/>
                <w:sz w:val="24"/>
              </w:rPr>
              <w:t>Il n’existe pas de statistiques sur les déchets radioactifs. Les tentatives de collecte et de conditionnement portent sur les sources non en usage et éventuellement sur les sources dites "orphelines" (non déclarées, abandonnées).</w:t>
            </w:r>
          </w:p>
          <w:p w:rsidR="00A004B7" w:rsidRPr="006E0389" w:rsidRDefault="00A004B7" w:rsidP="006E0389">
            <w:pPr>
              <w:autoSpaceDE w:val="0"/>
              <w:autoSpaceDN w:val="0"/>
              <w:adjustRightInd w:val="0"/>
              <w:spacing w:line="360" w:lineRule="auto"/>
              <w:rPr>
                <w:rFonts w:asciiTheme="minorHAnsi" w:hAnsiTheme="minorHAnsi"/>
                <w:sz w:val="24"/>
              </w:rPr>
            </w:pPr>
            <w:r w:rsidRPr="006E0389">
              <w:rPr>
                <w:rFonts w:asciiTheme="minorHAnsi" w:hAnsiTheme="minorHAnsi"/>
                <w:sz w:val="24"/>
              </w:rPr>
              <w:t>L’Agence Malienne de Radioprotection (AMARAP) dispose de l’équipement spécifique de récupération des sources scellées ou non et de conteneurs plombés de transfert. Une aire de stockage provisoire des déchets confinés est en cours d’aménagement avancé dans le domaine de l’ex-Centre Régional de l’Energie Solaire (CRES) de Badalabougou sous le contrôle de l’AMARAP.</w:t>
            </w:r>
          </w:p>
          <w:p w:rsidR="00A004B7" w:rsidRPr="006E0389" w:rsidRDefault="00A004B7" w:rsidP="006E0389">
            <w:pPr>
              <w:autoSpaceDE w:val="0"/>
              <w:autoSpaceDN w:val="0"/>
              <w:adjustRightInd w:val="0"/>
              <w:spacing w:line="360" w:lineRule="auto"/>
              <w:rPr>
                <w:rFonts w:asciiTheme="minorHAnsi" w:hAnsiTheme="minorHAnsi"/>
                <w:sz w:val="24"/>
              </w:rPr>
            </w:pPr>
            <w:r w:rsidRPr="006E0389">
              <w:rPr>
                <w:rFonts w:asciiTheme="minorHAnsi" w:hAnsiTheme="minorHAnsi"/>
                <w:sz w:val="24"/>
              </w:rPr>
              <w:t>Aucun traitement spécifique relatif à ces déchets n’existe à nos jours au Mali. Les eaux résiduaires et les effluents issus de la médecine nucléaire sont traités par confinement dans des réservoirs étanches pour être drainés dans des ouvrages d’assainissement collectifs après un laps de temps défini. Les autorisations d’importation de sources et matières radioactives sont octroyées sur la base de l’engagement du fournisseur à les reprendre après usage.</w:t>
            </w:r>
          </w:p>
          <w:p w:rsidR="00A004B7" w:rsidRPr="00A004B7" w:rsidRDefault="00A004B7">
            <w:pPr>
              <w:autoSpaceDE w:val="0"/>
              <w:autoSpaceDN w:val="0"/>
              <w:adjustRightInd w:val="0"/>
              <w:spacing w:line="360" w:lineRule="auto"/>
              <w:jc w:val="both"/>
              <w:rPr>
                <w:rFonts w:asciiTheme="minorHAnsi" w:hAnsiTheme="minorHAnsi" w:cstheme="minorHAnsi"/>
                <w:sz w:val="24"/>
                <w:szCs w:val="24"/>
                <w:highlight w:val="yellow"/>
              </w:rPr>
            </w:pPr>
          </w:p>
          <w:p w:rsidR="00DC314D" w:rsidRPr="006E0389" w:rsidRDefault="00A004B7">
            <w:pPr>
              <w:autoSpaceDE w:val="0"/>
              <w:autoSpaceDN w:val="0"/>
              <w:adjustRightInd w:val="0"/>
              <w:spacing w:line="360" w:lineRule="auto"/>
              <w:jc w:val="both"/>
              <w:rPr>
                <w:rFonts w:asciiTheme="minorHAnsi" w:hAnsiTheme="minorHAnsi" w:cstheme="minorHAnsi"/>
                <w:b/>
                <w:sz w:val="24"/>
                <w:szCs w:val="24"/>
                <w:u w:val="single"/>
              </w:rPr>
            </w:pPr>
            <w:r w:rsidRPr="006E0389">
              <w:rPr>
                <w:rFonts w:asciiTheme="minorHAnsi" w:hAnsiTheme="minorHAnsi" w:cstheme="minorHAnsi"/>
                <w:b/>
                <w:sz w:val="24"/>
                <w:szCs w:val="24"/>
                <w:u w:val="single"/>
              </w:rPr>
              <w:t>Cible non atteinte</w:t>
            </w:r>
          </w:p>
          <w:p w:rsidR="00DC314D" w:rsidRPr="00A004B7" w:rsidRDefault="00DC314D">
            <w:pPr>
              <w:autoSpaceDE w:val="0"/>
              <w:autoSpaceDN w:val="0"/>
              <w:adjustRightInd w:val="0"/>
              <w:spacing w:line="360" w:lineRule="auto"/>
              <w:jc w:val="both"/>
              <w:rPr>
                <w:rFonts w:asciiTheme="minorHAnsi" w:hAnsiTheme="minorHAnsi" w:cs="Tahoma"/>
                <w:b/>
                <w:sz w:val="24"/>
                <w:szCs w:val="24"/>
                <w:highlight w:val="yellow"/>
              </w:rPr>
            </w:pPr>
          </w:p>
        </w:tc>
      </w:tr>
      <w:tr w:rsidR="00DC314D" w:rsidRPr="00A929CE" w:rsidTr="008C046F">
        <w:tc>
          <w:tcPr>
            <w:tcW w:w="2439" w:type="dxa"/>
            <w:shd w:val="clear" w:color="auto" w:fill="BFBFBF" w:themeFill="background1" w:themeFillShade="BF"/>
          </w:tcPr>
          <w:p w:rsidR="00DC314D" w:rsidRPr="00A929CE" w:rsidRDefault="00DC314D" w:rsidP="00DC314D">
            <w:pPr>
              <w:spacing w:line="360" w:lineRule="auto"/>
              <w:jc w:val="both"/>
              <w:rPr>
                <w:rFonts w:asciiTheme="minorHAnsi" w:hAnsiTheme="minorHAnsi" w:cs="Tahoma"/>
                <w:b/>
                <w:bCs/>
                <w:sz w:val="24"/>
                <w:szCs w:val="24"/>
              </w:rPr>
            </w:pPr>
            <w:r w:rsidRPr="00A929CE">
              <w:rPr>
                <w:rFonts w:asciiTheme="minorHAnsi" w:hAnsiTheme="minorHAnsi" w:cs="Tahoma"/>
                <w:b/>
                <w:bCs/>
                <w:sz w:val="24"/>
                <w:szCs w:val="24"/>
              </w:rPr>
              <w:t>R18 : Déchets électroniques, électriques et électroménagers</w:t>
            </w:r>
          </w:p>
        </w:tc>
        <w:tc>
          <w:tcPr>
            <w:tcW w:w="6804" w:type="dxa"/>
          </w:tcPr>
          <w:p w:rsidR="00DC314D" w:rsidRPr="00A929CE" w:rsidRDefault="00DC314D" w:rsidP="00DC314D">
            <w:pPr>
              <w:autoSpaceDE w:val="0"/>
              <w:autoSpaceDN w:val="0"/>
              <w:adjustRightInd w:val="0"/>
              <w:spacing w:line="360" w:lineRule="auto"/>
              <w:jc w:val="both"/>
              <w:rPr>
                <w:rFonts w:asciiTheme="minorHAnsi" w:hAnsiTheme="minorHAnsi" w:cs="Tahoma"/>
                <w:sz w:val="24"/>
                <w:szCs w:val="24"/>
              </w:rPr>
            </w:pPr>
            <w:r w:rsidRPr="00A929CE">
              <w:rPr>
                <w:rFonts w:asciiTheme="minorHAnsi" w:hAnsiTheme="minorHAnsi" w:cs="Tahoma"/>
                <w:sz w:val="24"/>
                <w:szCs w:val="24"/>
              </w:rPr>
              <w:t>Des infrastructures spécifiques au traitement et destruction des déchets électroniques, électriques et électroménagers sont implantées dans au moins 10% des centres urbains d’ici fin 2015 et dans 50% des centres urbains avant fin 2025</w:t>
            </w:r>
          </w:p>
        </w:tc>
        <w:tc>
          <w:tcPr>
            <w:tcW w:w="6379" w:type="dxa"/>
          </w:tcPr>
          <w:p w:rsidR="00A004B7" w:rsidRPr="006E0389" w:rsidRDefault="00A004B7" w:rsidP="006E0389">
            <w:pPr>
              <w:autoSpaceDE w:val="0"/>
              <w:autoSpaceDN w:val="0"/>
              <w:adjustRightInd w:val="0"/>
              <w:spacing w:line="360" w:lineRule="auto"/>
              <w:rPr>
                <w:rFonts w:asciiTheme="minorHAnsi" w:hAnsiTheme="minorHAnsi"/>
                <w:sz w:val="24"/>
              </w:rPr>
            </w:pPr>
            <w:r w:rsidRPr="006E0389">
              <w:rPr>
                <w:rFonts w:asciiTheme="minorHAnsi" w:hAnsiTheme="minorHAnsi"/>
                <w:sz w:val="24"/>
              </w:rPr>
              <w:t>Malgré l</w:t>
            </w:r>
            <w:r w:rsidR="00631012" w:rsidRPr="006E0389">
              <w:rPr>
                <w:rFonts w:asciiTheme="minorHAnsi" w:hAnsiTheme="minorHAnsi"/>
                <w:sz w:val="24"/>
              </w:rPr>
              <w:t xml:space="preserve">a prolifération </w:t>
            </w:r>
            <w:r w:rsidRPr="006E0389">
              <w:rPr>
                <w:rFonts w:asciiTheme="minorHAnsi" w:hAnsiTheme="minorHAnsi"/>
                <w:sz w:val="24"/>
              </w:rPr>
              <w:t>des déchets électroniques, électriques et électroménagers</w:t>
            </w:r>
            <w:r w:rsidR="002C34D3">
              <w:rPr>
                <w:rFonts w:asciiTheme="minorHAnsi" w:hAnsiTheme="minorHAnsi"/>
                <w:sz w:val="24"/>
              </w:rPr>
              <w:t xml:space="preserve"> </w:t>
            </w:r>
            <w:r w:rsidRPr="006E0389">
              <w:rPr>
                <w:rFonts w:asciiTheme="minorHAnsi" w:hAnsiTheme="minorHAnsi"/>
                <w:sz w:val="24"/>
              </w:rPr>
              <w:t xml:space="preserve">et les dangers qui leurs sont liés, il n’existe pas </w:t>
            </w:r>
            <w:r w:rsidR="00690ADB" w:rsidRPr="006E0389">
              <w:rPr>
                <w:rFonts w:asciiTheme="minorHAnsi" w:hAnsiTheme="minorHAnsi"/>
                <w:sz w:val="24"/>
              </w:rPr>
              <w:t>actuellement</w:t>
            </w:r>
            <w:r w:rsidRPr="006E0389">
              <w:rPr>
                <w:rFonts w:asciiTheme="minorHAnsi" w:hAnsiTheme="minorHAnsi"/>
                <w:sz w:val="24"/>
              </w:rPr>
              <w:t xml:space="preserve"> de statistiques </w:t>
            </w:r>
            <w:r w:rsidR="00690ADB" w:rsidRPr="006E0389">
              <w:rPr>
                <w:rFonts w:asciiTheme="minorHAnsi" w:hAnsiTheme="minorHAnsi"/>
                <w:sz w:val="24"/>
              </w:rPr>
              <w:t xml:space="preserve">fiables </w:t>
            </w:r>
            <w:r w:rsidRPr="006E0389">
              <w:rPr>
                <w:rFonts w:asciiTheme="minorHAnsi" w:hAnsiTheme="minorHAnsi"/>
                <w:sz w:val="24"/>
              </w:rPr>
              <w:t xml:space="preserve">les concernant. </w:t>
            </w:r>
            <w:r w:rsidR="00690ADB" w:rsidRPr="006E0389">
              <w:rPr>
                <w:rFonts w:asciiTheme="minorHAnsi" w:hAnsiTheme="minorHAnsi"/>
                <w:sz w:val="24"/>
              </w:rPr>
              <w:t>Cependant</w:t>
            </w:r>
            <w:r w:rsidRPr="006E0389">
              <w:rPr>
                <w:rFonts w:asciiTheme="minorHAnsi" w:hAnsiTheme="minorHAnsi"/>
                <w:sz w:val="24"/>
              </w:rPr>
              <w:t>, dans le cadre de la mise en œuvre du protocole de Montréal, la situation des importations des SAO et des équipements les contenant est la suivante :</w:t>
            </w:r>
          </w:p>
          <w:p w:rsidR="00A004B7" w:rsidRPr="006E0389" w:rsidRDefault="00A004B7" w:rsidP="006E0389">
            <w:pPr>
              <w:autoSpaceDE w:val="0"/>
              <w:autoSpaceDN w:val="0"/>
              <w:adjustRightInd w:val="0"/>
              <w:spacing w:line="360" w:lineRule="auto"/>
              <w:rPr>
                <w:rFonts w:asciiTheme="minorHAnsi" w:hAnsiTheme="minorHAnsi"/>
                <w:sz w:val="24"/>
              </w:rPr>
            </w:pPr>
            <w:r w:rsidRPr="006E0389">
              <w:rPr>
                <w:rFonts w:asciiTheme="minorHAnsi" w:hAnsiTheme="minorHAnsi"/>
                <w:sz w:val="24"/>
              </w:rPr>
              <w:t>- Parc de matériel de froid : 451.818 unités ;</w:t>
            </w:r>
          </w:p>
          <w:p w:rsidR="00A004B7" w:rsidRPr="006E0389" w:rsidRDefault="00A004B7" w:rsidP="006E0389">
            <w:pPr>
              <w:autoSpaceDE w:val="0"/>
              <w:autoSpaceDN w:val="0"/>
              <w:adjustRightInd w:val="0"/>
              <w:spacing w:line="360" w:lineRule="auto"/>
              <w:rPr>
                <w:rFonts w:asciiTheme="minorHAnsi" w:hAnsiTheme="minorHAnsi"/>
                <w:sz w:val="24"/>
              </w:rPr>
            </w:pPr>
            <w:r w:rsidRPr="006E0389">
              <w:rPr>
                <w:rFonts w:asciiTheme="minorHAnsi" w:hAnsiTheme="minorHAnsi"/>
                <w:sz w:val="24"/>
              </w:rPr>
              <w:t>- Quantité de fluide frigorigène : 16,200 tonnes ;</w:t>
            </w:r>
          </w:p>
          <w:p w:rsidR="00A004B7" w:rsidRPr="006E0389" w:rsidRDefault="00A004B7" w:rsidP="006E0389">
            <w:pPr>
              <w:autoSpaceDE w:val="0"/>
              <w:autoSpaceDN w:val="0"/>
              <w:adjustRightInd w:val="0"/>
              <w:spacing w:line="360" w:lineRule="auto"/>
              <w:rPr>
                <w:rFonts w:asciiTheme="minorHAnsi" w:hAnsiTheme="minorHAnsi"/>
                <w:sz w:val="24"/>
              </w:rPr>
            </w:pPr>
            <w:r w:rsidRPr="006E0389">
              <w:rPr>
                <w:rFonts w:asciiTheme="minorHAnsi" w:hAnsiTheme="minorHAnsi"/>
                <w:sz w:val="24"/>
              </w:rPr>
              <w:t>- Quantité de véhicules utilisant les SAO : 301.824 unités.</w:t>
            </w:r>
          </w:p>
          <w:p w:rsidR="00A004B7" w:rsidRPr="006E0389" w:rsidRDefault="00A004B7" w:rsidP="006E0389">
            <w:pPr>
              <w:autoSpaceDE w:val="0"/>
              <w:autoSpaceDN w:val="0"/>
              <w:adjustRightInd w:val="0"/>
              <w:spacing w:line="360" w:lineRule="auto"/>
              <w:rPr>
                <w:rFonts w:asciiTheme="minorHAnsi" w:hAnsiTheme="minorHAnsi"/>
                <w:sz w:val="24"/>
              </w:rPr>
            </w:pPr>
            <w:r w:rsidRPr="006E0389">
              <w:rPr>
                <w:rFonts w:asciiTheme="minorHAnsi" w:hAnsiTheme="minorHAnsi"/>
                <w:sz w:val="24"/>
              </w:rPr>
              <w:t xml:space="preserve">Le commerce illicite, notamment des véhicules et réfrigérateur, rend difficile la maîtrise des importations. </w:t>
            </w:r>
          </w:p>
          <w:p w:rsidR="00A004B7" w:rsidRPr="006E0389" w:rsidRDefault="00A004B7" w:rsidP="006E0389">
            <w:pPr>
              <w:autoSpaceDE w:val="0"/>
              <w:autoSpaceDN w:val="0"/>
              <w:adjustRightInd w:val="0"/>
              <w:spacing w:line="360" w:lineRule="auto"/>
              <w:rPr>
                <w:rFonts w:asciiTheme="minorHAnsi" w:hAnsiTheme="minorHAnsi"/>
                <w:sz w:val="24"/>
              </w:rPr>
            </w:pPr>
            <w:r w:rsidRPr="006E0389">
              <w:rPr>
                <w:rFonts w:asciiTheme="minorHAnsi" w:hAnsiTheme="minorHAnsi"/>
                <w:sz w:val="24"/>
              </w:rPr>
              <w:t>La collecte et le conditionnement porte sur un certain nombre d’équipements et de déchets dans le cadre de l’application du principe du pollueur payeur et de la mise en œuvre des conventions internationales relatives aux produits chimiques. Exemple : reprise des cartouches d’encres, collecte des Substances Appauvrissant la couche d’Ozone (SAO). Concernant les SAO, la collecte se fait timidement compte tenu des faibles quantités des substances contenues dans les équipements. A ce jour seulement de 2 tonnes de CFC12 ont pu être récupéré. La reconversion de l’usine FOFY INDUSTRIE a permis une réduction de 19 tonnes de CFC11 importés.</w:t>
            </w:r>
          </w:p>
          <w:p w:rsidR="00A004B7" w:rsidRDefault="00A004B7" w:rsidP="006E0389">
            <w:pPr>
              <w:autoSpaceDE w:val="0"/>
              <w:autoSpaceDN w:val="0"/>
              <w:adjustRightInd w:val="0"/>
              <w:spacing w:line="360" w:lineRule="auto"/>
              <w:rPr>
                <w:rFonts w:asciiTheme="minorHAnsi" w:hAnsiTheme="minorHAnsi"/>
                <w:sz w:val="24"/>
              </w:rPr>
            </w:pPr>
            <w:r w:rsidRPr="006E0389">
              <w:rPr>
                <w:rFonts w:asciiTheme="minorHAnsi" w:hAnsiTheme="minorHAnsi"/>
                <w:sz w:val="24"/>
              </w:rPr>
              <w:t>Il n’existe pas de traitement à proprement parler sauf des activités de récupération de certains métaux (cuivre, plomb, zinc, fer.) dans les épaves de certains appareils. Concernant les SAO, le traitement consiste d’une part, à la reconversion (adaptation) des équipements aux hydrocarbures non encore utilisée au Mali et d’autre part à la destruction des substances vierges (Gaz).</w:t>
            </w:r>
          </w:p>
          <w:p w:rsidR="00631012" w:rsidRPr="006E0389" w:rsidRDefault="00631012" w:rsidP="006E0389">
            <w:pPr>
              <w:autoSpaceDE w:val="0"/>
              <w:autoSpaceDN w:val="0"/>
              <w:adjustRightInd w:val="0"/>
              <w:spacing w:line="360" w:lineRule="auto"/>
              <w:rPr>
                <w:rFonts w:asciiTheme="minorHAnsi" w:hAnsiTheme="minorHAnsi"/>
                <w:b/>
                <w:sz w:val="24"/>
                <w:u w:val="single"/>
              </w:rPr>
            </w:pPr>
            <w:r w:rsidRPr="006E0389">
              <w:rPr>
                <w:rFonts w:asciiTheme="minorHAnsi" w:hAnsiTheme="minorHAnsi"/>
                <w:b/>
                <w:sz w:val="24"/>
                <w:u w:val="single"/>
              </w:rPr>
              <w:t>Cible non atteinte</w:t>
            </w:r>
          </w:p>
          <w:p w:rsidR="00A004B7" w:rsidRPr="00631012" w:rsidRDefault="00A004B7">
            <w:pPr>
              <w:autoSpaceDE w:val="0"/>
              <w:autoSpaceDN w:val="0"/>
              <w:adjustRightInd w:val="0"/>
              <w:spacing w:line="360" w:lineRule="auto"/>
              <w:jc w:val="both"/>
              <w:rPr>
                <w:rFonts w:asciiTheme="minorHAnsi" w:hAnsiTheme="minorHAnsi" w:cstheme="minorHAnsi"/>
                <w:sz w:val="24"/>
                <w:szCs w:val="24"/>
                <w:highlight w:val="yellow"/>
              </w:rPr>
            </w:pPr>
          </w:p>
          <w:p w:rsidR="00A004B7" w:rsidRPr="00631012" w:rsidRDefault="00A004B7">
            <w:pPr>
              <w:autoSpaceDE w:val="0"/>
              <w:autoSpaceDN w:val="0"/>
              <w:adjustRightInd w:val="0"/>
              <w:spacing w:line="360" w:lineRule="auto"/>
              <w:jc w:val="both"/>
              <w:rPr>
                <w:rFonts w:asciiTheme="minorHAnsi" w:hAnsiTheme="minorHAnsi" w:cstheme="minorHAnsi"/>
                <w:sz w:val="24"/>
                <w:szCs w:val="24"/>
                <w:highlight w:val="yellow"/>
              </w:rPr>
            </w:pPr>
          </w:p>
          <w:p w:rsidR="00DC314D" w:rsidRPr="00631012" w:rsidRDefault="00DC314D">
            <w:pPr>
              <w:autoSpaceDE w:val="0"/>
              <w:autoSpaceDN w:val="0"/>
              <w:adjustRightInd w:val="0"/>
              <w:spacing w:line="360" w:lineRule="auto"/>
              <w:jc w:val="both"/>
              <w:rPr>
                <w:rFonts w:asciiTheme="minorHAnsi" w:hAnsiTheme="minorHAnsi" w:cs="Tahoma"/>
                <w:b/>
                <w:sz w:val="24"/>
                <w:szCs w:val="24"/>
                <w:highlight w:val="yellow"/>
              </w:rPr>
            </w:pPr>
          </w:p>
        </w:tc>
      </w:tr>
      <w:tr w:rsidR="00DC314D" w:rsidRPr="00A929CE" w:rsidTr="008C046F">
        <w:tc>
          <w:tcPr>
            <w:tcW w:w="2439" w:type="dxa"/>
            <w:shd w:val="clear" w:color="auto" w:fill="BFBFBF" w:themeFill="background1" w:themeFillShade="BF"/>
          </w:tcPr>
          <w:p w:rsidR="00DC314D" w:rsidRPr="00A929CE" w:rsidRDefault="00DC314D" w:rsidP="00DC314D">
            <w:pPr>
              <w:spacing w:line="360" w:lineRule="auto"/>
              <w:jc w:val="both"/>
              <w:rPr>
                <w:rFonts w:asciiTheme="minorHAnsi" w:hAnsiTheme="minorHAnsi" w:cs="Tahoma"/>
                <w:b/>
                <w:bCs/>
                <w:sz w:val="24"/>
                <w:szCs w:val="24"/>
              </w:rPr>
            </w:pPr>
            <w:r w:rsidRPr="00A929CE">
              <w:rPr>
                <w:rFonts w:asciiTheme="minorHAnsi" w:hAnsiTheme="minorHAnsi" w:cs="Tahoma"/>
                <w:b/>
                <w:bCs/>
                <w:sz w:val="24"/>
                <w:szCs w:val="24"/>
              </w:rPr>
              <w:t>R19 : Déchets chimiques liées à l’exploitation minière</w:t>
            </w:r>
          </w:p>
        </w:tc>
        <w:tc>
          <w:tcPr>
            <w:tcW w:w="6804" w:type="dxa"/>
          </w:tcPr>
          <w:p w:rsidR="00DC314D" w:rsidRPr="00A929CE" w:rsidRDefault="00DC314D" w:rsidP="00DC314D">
            <w:pPr>
              <w:autoSpaceDE w:val="0"/>
              <w:autoSpaceDN w:val="0"/>
              <w:adjustRightInd w:val="0"/>
              <w:spacing w:line="360" w:lineRule="auto"/>
              <w:jc w:val="both"/>
              <w:rPr>
                <w:rFonts w:asciiTheme="minorHAnsi" w:hAnsiTheme="minorHAnsi" w:cs="Tahoma"/>
                <w:sz w:val="24"/>
                <w:szCs w:val="24"/>
              </w:rPr>
            </w:pPr>
            <w:r w:rsidRPr="00A929CE">
              <w:rPr>
                <w:rFonts w:asciiTheme="minorHAnsi" w:hAnsiTheme="minorHAnsi" w:cs="Tahoma"/>
                <w:sz w:val="24"/>
                <w:szCs w:val="24"/>
              </w:rPr>
              <w:t>Des infrastructures lourdes et spécifiques au traitement et destruction des déchets chimiques liés à l’exploitation minière sont implantées dans les régions administratives abritant les sites miniers pour au moins 50% d’ici fin 2015 et 100% avant fin 2025</w:t>
            </w:r>
          </w:p>
        </w:tc>
        <w:tc>
          <w:tcPr>
            <w:tcW w:w="6379" w:type="dxa"/>
          </w:tcPr>
          <w:p w:rsidR="00631012" w:rsidRPr="009278A9" w:rsidRDefault="00631012" w:rsidP="002C34D3">
            <w:pPr>
              <w:autoSpaceDE w:val="0"/>
              <w:autoSpaceDN w:val="0"/>
              <w:adjustRightInd w:val="0"/>
              <w:spacing w:line="276" w:lineRule="auto"/>
              <w:jc w:val="both"/>
              <w:rPr>
                <w:rFonts w:ascii="Times New Roman" w:hAnsi="Times New Roman"/>
                <w:sz w:val="24"/>
              </w:rPr>
            </w:pPr>
            <w:r w:rsidRPr="009278A9">
              <w:rPr>
                <w:rFonts w:ascii="Times New Roman" w:hAnsi="Times New Roman"/>
                <w:sz w:val="24"/>
              </w:rPr>
              <w:t xml:space="preserve">Les données relatives </w:t>
            </w:r>
            <w:r>
              <w:rPr>
                <w:rFonts w:ascii="Times New Roman" w:hAnsi="Times New Roman"/>
                <w:sz w:val="24"/>
              </w:rPr>
              <w:t xml:space="preserve">aux déchets chimiques liées à l’exploitation minière </w:t>
            </w:r>
            <w:r w:rsidRPr="009278A9">
              <w:rPr>
                <w:rFonts w:ascii="Times New Roman" w:hAnsi="Times New Roman"/>
                <w:sz w:val="24"/>
              </w:rPr>
              <w:t xml:space="preserve">ne sont pas disponibles. </w:t>
            </w:r>
            <w:r w:rsidR="00BB5AAA">
              <w:rPr>
                <w:rFonts w:ascii="Times New Roman" w:hAnsi="Times New Roman"/>
                <w:sz w:val="24"/>
              </w:rPr>
              <w:t xml:space="preserve">Il existe </w:t>
            </w:r>
            <w:r w:rsidRPr="009278A9">
              <w:rPr>
                <w:rFonts w:ascii="Times New Roman" w:hAnsi="Times New Roman"/>
                <w:sz w:val="24"/>
              </w:rPr>
              <w:t>des stocks de cyanures dans les sites miniers fermés et en exploitation dont les chiffres sont méconnus. Au niveau des mines</w:t>
            </w:r>
            <w:r w:rsidR="00BB5AAA">
              <w:rPr>
                <w:rFonts w:ascii="Times New Roman" w:hAnsi="Times New Roman"/>
                <w:sz w:val="24"/>
              </w:rPr>
              <w:t>,</w:t>
            </w:r>
            <w:r w:rsidRPr="009278A9">
              <w:rPr>
                <w:rFonts w:ascii="Times New Roman" w:hAnsi="Times New Roman"/>
                <w:sz w:val="24"/>
              </w:rPr>
              <w:t xml:space="preserve"> la collecte et le conditionnement se font à travers le drainage des eaux résiduaires vers </w:t>
            </w:r>
            <w:r w:rsidR="00D54C69" w:rsidRPr="009278A9">
              <w:rPr>
                <w:rFonts w:ascii="Times New Roman" w:hAnsi="Times New Roman"/>
                <w:sz w:val="24"/>
              </w:rPr>
              <w:t>le</w:t>
            </w:r>
            <w:r w:rsidR="00D54C69">
              <w:rPr>
                <w:rFonts w:ascii="Times New Roman" w:hAnsi="Times New Roman"/>
                <w:sz w:val="24"/>
              </w:rPr>
              <w:t>s</w:t>
            </w:r>
            <w:r w:rsidR="00D54C69" w:rsidRPr="009278A9">
              <w:rPr>
                <w:rFonts w:ascii="Times New Roman" w:hAnsi="Times New Roman"/>
                <w:sz w:val="24"/>
              </w:rPr>
              <w:t xml:space="preserve"> bassins</w:t>
            </w:r>
            <w:r w:rsidRPr="009278A9">
              <w:rPr>
                <w:rFonts w:ascii="Times New Roman" w:hAnsi="Times New Roman"/>
                <w:sz w:val="24"/>
              </w:rPr>
              <w:t xml:space="preserve"> à boues. Le traitement se fait au niveau des bassins à boue pour les mines industrielles. Aucun traitement spécifique n’est réservé à ces déchets dans l’orpaillage.</w:t>
            </w:r>
          </w:p>
          <w:p w:rsidR="00631012" w:rsidRPr="009278A9" w:rsidRDefault="00631012" w:rsidP="00631012">
            <w:pPr>
              <w:autoSpaceDE w:val="0"/>
              <w:autoSpaceDN w:val="0"/>
              <w:adjustRightInd w:val="0"/>
              <w:spacing w:line="276" w:lineRule="auto"/>
              <w:rPr>
                <w:rFonts w:ascii="Times New Roman" w:hAnsi="Times New Roman"/>
                <w:sz w:val="24"/>
              </w:rPr>
            </w:pPr>
          </w:p>
          <w:p w:rsidR="00631012" w:rsidRDefault="00631012" w:rsidP="00DC314D">
            <w:pPr>
              <w:autoSpaceDE w:val="0"/>
              <w:autoSpaceDN w:val="0"/>
              <w:adjustRightInd w:val="0"/>
              <w:spacing w:line="360" w:lineRule="auto"/>
              <w:jc w:val="both"/>
              <w:rPr>
                <w:rFonts w:asciiTheme="minorHAnsi" w:hAnsiTheme="minorHAnsi" w:cstheme="minorHAnsi"/>
                <w:sz w:val="24"/>
                <w:szCs w:val="24"/>
                <w:highlight w:val="yellow"/>
              </w:rPr>
            </w:pPr>
          </w:p>
          <w:p w:rsidR="00631012" w:rsidRPr="006E0389" w:rsidRDefault="00BB5AAA" w:rsidP="00DC314D">
            <w:pPr>
              <w:autoSpaceDE w:val="0"/>
              <w:autoSpaceDN w:val="0"/>
              <w:adjustRightInd w:val="0"/>
              <w:spacing w:line="360" w:lineRule="auto"/>
              <w:jc w:val="both"/>
              <w:rPr>
                <w:rFonts w:asciiTheme="minorHAnsi" w:hAnsiTheme="minorHAnsi" w:cstheme="minorHAnsi"/>
                <w:b/>
                <w:sz w:val="24"/>
                <w:szCs w:val="24"/>
                <w:u w:val="single"/>
              </w:rPr>
            </w:pPr>
            <w:r w:rsidRPr="006E0389">
              <w:rPr>
                <w:rFonts w:asciiTheme="minorHAnsi" w:hAnsiTheme="minorHAnsi" w:cstheme="minorHAnsi"/>
                <w:b/>
                <w:sz w:val="24"/>
                <w:szCs w:val="24"/>
                <w:u w:val="single"/>
              </w:rPr>
              <w:t>Cible actuellement non atteinte</w:t>
            </w:r>
          </w:p>
          <w:p w:rsidR="00DC314D" w:rsidRPr="00913F84" w:rsidRDefault="00DC314D" w:rsidP="00DC314D">
            <w:pPr>
              <w:autoSpaceDE w:val="0"/>
              <w:autoSpaceDN w:val="0"/>
              <w:adjustRightInd w:val="0"/>
              <w:spacing w:line="360" w:lineRule="auto"/>
              <w:jc w:val="both"/>
              <w:rPr>
                <w:rFonts w:asciiTheme="minorHAnsi" w:hAnsiTheme="minorHAnsi" w:cstheme="minorHAnsi"/>
                <w:sz w:val="24"/>
                <w:szCs w:val="24"/>
                <w:highlight w:val="yellow"/>
              </w:rPr>
            </w:pPr>
          </w:p>
          <w:p w:rsidR="00DC314D" w:rsidRPr="00913F84" w:rsidRDefault="00DC314D" w:rsidP="00DC314D">
            <w:pPr>
              <w:autoSpaceDE w:val="0"/>
              <w:autoSpaceDN w:val="0"/>
              <w:adjustRightInd w:val="0"/>
              <w:spacing w:line="360" w:lineRule="auto"/>
              <w:jc w:val="both"/>
              <w:rPr>
                <w:rFonts w:asciiTheme="minorHAnsi" w:hAnsiTheme="minorHAnsi" w:cs="Tahoma"/>
                <w:b/>
                <w:sz w:val="24"/>
                <w:szCs w:val="24"/>
                <w:highlight w:val="yellow"/>
              </w:rPr>
            </w:pPr>
          </w:p>
        </w:tc>
      </w:tr>
      <w:tr w:rsidR="00DC314D" w:rsidRPr="00A929CE" w:rsidTr="008C046F">
        <w:tc>
          <w:tcPr>
            <w:tcW w:w="2439" w:type="dxa"/>
            <w:shd w:val="clear" w:color="auto" w:fill="BFBFBF" w:themeFill="background1" w:themeFillShade="BF"/>
          </w:tcPr>
          <w:p w:rsidR="00DC314D" w:rsidRPr="00A929CE" w:rsidRDefault="00DC314D" w:rsidP="00DC314D">
            <w:pPr>
              <w:spacing w:line="360" w:lineRule="auto"/>
              <w:jc w:val="both"/>
              <w:rPr>
                <w:rFonts w:asciiTheme="minorHAnsi" w:hAnsiTheme="minorHAnsi" w:cs="Tahoma"/>
                <w:b/>
                <w:bCs/>
                <w:sz w:val="24"/>
                <w:szCs w:val="24"/>
              </w:rPr>
            </w:pPr>
            <w:r w:rsidRPr="00A929CE">
              <w:rPr>
                <w:rFonts w:asciiTheme="minorHAnsi" w:hAnsiTheme="minorHAnsi" w:cs="Tahoma"/>
                <w:b/>
                <w:bCs/>
                <w:sz w:val="24"/>
                <w:szCs w:val="24"/>
              </w:rPr>
              <w:t>R20 : Déchets contenant de l’amiante</w:t>
            </w:r>
          </w:p>
        </w:tc>
        <w:tc>
          <w:tcPr>
            <w:tcW w:w="6804" w:type="dxa"/>
          </w:tcPr>
          <w:p w:rsidR="00DC314D" w:rsidRPr="00A929CE" w:rsidRDefault="00DC314D" w:rsidP="00DC314D">
            <w:pPr>
              <w:autoSpaceDE w:val="0"/>
              <w:autoSpaceDN w:val="0"/>
              <w:adjustRightInd w:val="0"/>
              <w:spacing w:line="360" w:lineRule="auto"/>
              <w:jc w:val="both"/>
              <w:rPr>
                <w:rFonts w:asciiTheme="minorHAnsi" w:hAnsiTheme="minorHAnsi" w:cs="Tahoma"/>
                <w:sz w:val="24"/>
                <w:szCs w:val="24"/>
              </w:rPr>
            </w:pPr>
            <w:r w:rsidRPr="00A929CE">
              <w:rPr>
                <w:rFonts w:asciiTheme="minorHAnsi" w:hAnsiTheme="minorHAnsi" w:cs="Tahoma"/>
                <w:sz w:val="24"/>
                <w:szCs w:val="24"/>
              </w:rPr>
              <w:t xml:space="preserve">Un inventaire exhaustif des déchets contenant de l’amiante est réalisé d’ici à fin 2010. L’orientation consiste à traiter au moins 30% de ces déchets avant fin 2015 suivant la technologie la plus respectueuse de l’environnement </w:t>
            </w:r>
          </w:p>
        </w:tc>
        <w:tc>
          <w:tcPr>
            <w:tcW w:w="6379" w:type="dxa"/>
          </w:tcPr>
          <w:p w:rsidR="00BB5AAA" w:rsidRPr="006E0389" w:rsidRDefault="00BB5AAA" w:rsidP="006E0389">
            <w:pPr>
              <w:autoSpaceDE w:val="0"/>
              <w:autoSpaceDN w:val="0"/>
              <w:adjustRightInd w:val="0"/>
              <w:spacing w:line="360" w:lineRule="auto"/>
              <w:jc w:val="both"/>
              <w:rPr>
                <w:rFonts w:asciiTheme="minorHAnsi" w:hAnsiTheme="minorHAnsi"/>
                <w:sz w:val="24"/>
              </w:rPr>
            </w:pPr>
            <w:r w:rsidRPr="006E0389">
              <w:rPr>
                <w:rFonts w:asciiTheme="minorHAnsi" w:hAnsiTheme="minorHAnsi"/>
                <w:sz w:val="24"/>
              </w:rPr>
              <w:t>Au regard du décret N° 07-135/P-RM du 16 avril 2007 fixant la liste des déchets dangereux, les déchets contenant de l’amiante sont des déchets dangereux. Les statistiques concernant l’amiante ne sont pas disponibles à nos jours. En dépit des dangers que l’amiante représente, elle n’est ni collectée, ni conditionnée. Les artisans (maçons, ferrailleurs) qui procèdent à la démolition des infrastructures et équipements qui le contiennent sont constamment exposés à ces effets. Aucun traitement n’est entrepris concernant ces déchets.</w:t>
            </w:r>
          </w:p>
          <w:p w:rsidR="00BB5AAA" w:rsidRPr="006E0389" w:rsidRDefault="00BB5AAA" w:rsidP="006E0389">
            <w:pPr>
              <w:autoSpaceDE w:val="0"/>
              <w:autoSpaceDN w:val="0"/>
              <w:adjustRightInd w:val="0"/>
              <w:spacing w:line="360" w:lineRule="auto"/>
              <w:jc w:val="both"/>
              <w:rPr>
                <w:rFonts w:asciiTheme="minorHAnsi" w:hAnsiTheme="minorHAnsi"/>
                <w:b/>
                <w:sz w:val="24"/>
                <w:u w:val="single"/>
              </w:rPr>
            </w:pPr>
            <w:r w:rsidRPr="006E0389">
              <w:rPr>
                <w:rFonts w:asciiTheme="minorHAnsi" w:hAnsiTheme="minorHAnsi"/>
                <w:b/>
                <w:sz w:val="24"/>
                <w:u w:val="single"/>
              </w:rPr>
              <w:t>Cible non atteinte</w:t>
            </w:r>
          </w:p>
          <w:p w:rsidR="00DC314D" w:rsidRPr="00913F84" w:rsidRDefault="00DC314D">
            <w:pPr>
              <w:autoSpaceDE w:val="0"/>
              <w:autoSpaceDN w:val="0"/>
              <w:adjustRightInd w:val="0"/>
              <w:spacing w:line="360" w:lineRule="auto"/>
              <w:jc w:val="both"/>
              <w:rPr>
                <w:rFonts w:asciiTheme="minorHAnsi" w:hAnsiTheme="minorHAnsi" w:cstheme="minorHAnsi"/>
                <w:sz w:val="24"/>
                <w:szCs w:val="24"/>
                <w:highlight w:val="yellow"/>
              </w:rPr>
            </w:pPr>
          </w:p>
        </w:tc>
      </w:tr>
      <w:tr w:rsidR="00DC314D" w:rsidRPr="00A929CE" w:rsidTr="008C046F">
        <w:tc>
          <w:tcPr>
            <w:tcW w:w="2439" w:type="dxa"/>
            <w:shd w:val="clear" w:color="auto" w:fill="BFBFBF" w:themeFill="background1" w:themeFillShade="BF"/>
          </w:tcPr>
          <w:p w:rsidR="00DC314D" w:rsidRPr="00A929CE" w:rsidRDefault="00DC314D" w:rsidP="00DC314D">
            <w:pPr>
              <w:spacing w:line="360" w:lineRule="auto"/>
              <w:jc w:val="both"/>
              <w:rPr>
                <w:rFonts w:asciiTheme="minorHAnsi" w:hAnsiTheme="minorHAnsi" w:cs="Tahoma"/>
                <w:b/>
                <w:bCs/>
                <w:sz w:val="24"/>
                <w:szCs w:val="24"/>
              </w:rPr>
            </w:pPr>
            <w:r w:rsidRPr="00A929CE">
              <w:rPr>
                <w:rFonts w:asciiTheme="minorHAnsi" w:hAnsiTheme="minorHAnsi" w:cs="Tahoma"/>
                <w:b/>
                <w:bCs/>
                <w:sz w:val="24"/>
                <w:szCs w:val="24"/>
              </w:rPr>
              <w:t>R21 : Déchets issus d’activités militaires</w:t>
            </w:r>
          </w:p>
        </w:tc>
        <w:tc>
          <w:tcPr>
            <w:tcW w:w="6804" w:type="dxa"/>
          </w:tcPr>
          <w:p w:rsidR="00DC314D" w:rsidRPr="00A929CE" w:rsidRDefault="00DC314D" w:rsidP="00DC314D">
            <w:pPr>
              <w:autoSpaceDE w:val="0"/>
              <w:autoSpaceDN w:val="0"/>
              <w:adjustRightInd w:val="0"/>
              <w:spacing w:line="360" w:lineRule="auto"/>
              <w:jc w:val="both"/>
              <w:rPr>
                <w:rFonts w:asciiTheme="minorHAnsi" w:hAnsiTheme="minorHAnsi" w:cs="Tahoma"/>
                <w:sz w:val="24"/>
                <w:szCs w:val="24"/>
              </w:rPr>
            </w:pPr>
            <w:r w:rsidRPr="00A929CE">
              <w:rPr>
                <w:rFonts w:asciiTheme="minorHAnsi" w:hAnsiTheme="minorHAnsi" w:cs="Tahoma"/>
                <w:sz w:val="24"/>
                <w:szCs w:val="24"/>
              </w:rPr>
              <w:t>L’orientation consiste à procéder au traitement de ces déchets selon des technologies respectueuses de l’environnement et des normes militaires</w:t>
            </w:r>
          </w:p>
        </w:tc>
        <w:tc>
          <w:tcPr>
            <w:tcW w:w="6379" w:type="dxa"/>
          </w:tcPr>
          <w:p w:rsidR="00DC314D" w:rsidRPr="00E95D71" w:rsidRDefault="00E95D71">
            <w:pPr>
              <w:autoSpaceDE w:val="0"/>
              <w:autoSpaceDN w:val="0"/>
              <w:adjustRightInd w:val="0"/>
              <w:spacing w:line="360" w:lineRule="auto"/>
              <w:jc w:val="both"/>
              <w:rPr>
                <w:rFonts w:asciiTheme="minorHAnsi" w:hAnsiTheme="minorHAnsi" w:cs="Tahoma"/>
                <w:b/>
                <w:sz w:val="24"/>
                <w:szCs w:val="24"/>
                <w:highlight w:val="yellow"/>
              </w:rPr>
            </w:pPr>
            <w:r w:rsidRPr="006E0389">
              <w:rPr>
                <w:rFonts w:asciiTheme="minorHAnsi" w:hAnsiTheme="minorHAnsi"/>
                <w:sz w:val="24"/>
              </w:rPr>
              <w:t>Il n’existe pas de statistiques diffusées relatives à ces déchets (PASP). La Collecte et le conditionnement sont du domaine militaire et le traitement est exclusivement du domaine militaire</w:t>
            </w:r>
          </w:p>
        </w:tc>
      </w:tr>
      <w:tr w:rsidR="00DC314D" w:rsidRPr="00A929CE" w:rsidTr="008C046F">
        <w:tc>
          <w:tcPr>
            <w:tcW w:w="2439" w:type="dxa"/>
            <w:shd w:val="clear" w:color="auto" w:fill="BFBFBF" w:themeFill="background1" w:themeFillShade="BF"/>
          </w:tcPr>
          <w:p w:rsidR="00DC314D" w:rsidRPr="00A929CE" w:rsidRDefault="00DC314D" w:rsidP="00DC314D">
            <w:pPr>
              <w:spacing w:line="360" w:lineRule="auto"/>
              <w:jc w:val="both"/>
              <w:rPr>
                <w:rFonts w:asciiTheme="minorHAnsi" w:hAnsiTheme="minorHAnsi" w:cs="Tahoma"/>
                <w:b/>
                <w:bCs/>
                <w:sz w:val="24"/>
                <w:szCs w:val="24"/>
              </w:rPr>
            </w:pPr>
            <w:r w:rsidRPr="00A929CE">
              <w:rPr>
                <w:rFonts w:asciiTheme="minorHAnsi" w:hAnsiTheme="minorHAnsi" w:cs="Tahoma"/>
                <w:b/>
                <w:bCs/>
                <w:sz w:val="24"/>
                <w:szCs w:val="24"/>
              </w:rPr>
              <w:t>R22 : Solvants usés</w:t>
            </w:r>
          </w:p>
        </w:tc>
        <w:tc>
          <w:tcPr>
            <w:tcW w:w="6804" w:type="dxa"/>
          </w:tcPr>
          <w:p w:rsidR="00DC314D" w:rsidRPr="00A929CE" w:rsidRDefault="00DC314D" w:rsidP="00DC314D">
            <w:pPr>
              <w:autoSpaceDE w:val="0"/>
              <w:autoSpaceDN w:val="0"/>
              <w:adjustRightInd w:val="0"/>
              <w:spacing w:line="360" w:lineRule="auto"/>
              <w:jc w:val="both"/>
              <w:rPr>
                <w:rFonts w:asciiTheme="minorHAnsi" w:hAnsiTheme="minorHAnsi" w:cs="Tahoma"/>
                <w:sz w:val="24"/>
                <w:szCs w:val="24"/>
              </w:rPr>
            </w:pPr>
            <w:r w:rsidRPr="00A929CE">
              <w:rPr>
                <w:rFonts w:asciiTheme="minorHAnsi" w:hAnsiTheme="minorHAnsi" w:cs="Tahoma"/>
                <w:sz w:val="24"/>
                <w:szCs w:val="24"/>
              </w:rPr>
              <w:t>Un inventaire exhaustif des sources de production potentielle est réalisé avant fin 2010. Des infrastructures spécifiques au traitement et destruction des solvants usés sont implantées dans au moins 50% des centres urbains d’ici fin 2015 et 80% avant fin 2025</w:t>
            </w:r>
          </w:p>
        </w:tc>
        <w:tc>
          <w:tcPr>
            <w:tcW w:w="6379" w:type="dxa"/>
          </w:tcPr>
          <w:p w:rsidR="00E95D71" w:rsidRPr="009278A9" w:rsidRDefault="00E95D71" w:rsidP="002C34D3">
            <w:pPr>
              <w:autoSpaceDE w:val="0"/>
              <w:autoSpaceDN w:val="0"/>
              <w:adjustRightInd w:val="0"/>
              <w:spacing w:line="276" w:lineRule="auto"/>
              <w:jc w:val="both"/>
              <w:rPr>
                <w:rFonts w:ascii="Times New Roman" w:hAnsi="Times New Roman"/>
                <w:sz w:val="24"/>
              </w:rPr>
            </w:pPr>
            <w:r>
              <w:rPr>
                <w:rFonts w:ascii="Times New Roman" w:hAnsi="Times New Roman"/>
                <w:sz w:val="24"/>
              </w:rPr>
              <w:t>Au niveau national, l</w:t>
            </w:r>
            <w:r w:rsidRPr="009278A9">
              <w:rPr>
                <w:rFonts w:ascii="Times New Roman" w:hAnsi="Times New Roman"/>
                <w:sz w:val="24"/>
              </w:rPr>
              <w:t>a production de ce type de déchets est méconnue</w:t>
            </w:r>
            <w:r>
              <w:rPr>
                <w:rFonts w:ascii="Times New Roman" w:hAnsi="Times New Roman"/>
                <w:sz w:val="24"/>
              </w:rPr>
              <w:t xml:space="preserve"> ; il </w:t>
            </w:r>
            <w:r w:rsidRPr="009278A9">
              <w:rPr>
                <w:rFonts w:ascii="Times New Roman" w:hAnsi="Times New Roman"/>
                <w:sz w:val="24"/>
              </w:rPr>
              <w:t xml:space="preserve">ne fait l’objet d’aucune collecte organisée. Toutefois, dans certains établissements spécialisés, ces déchets sont conditionnés dans des flacons étiquetés. Aucun traitement spécifique n’est entrepris. Cependant, dans le cadre du Protocole de Montréal, les dispositions sont cours pour la destruction des inhalateurs doseurs (tétrachlorure de carbone). Les infrastructures existantes concernent essentiellement la gestion des Déchets Biomédicaux. Il s’agit des incinérateurs équipant la quasi-totalité des hôpitaux et des centres de santé de références. </w:t>
            </w:r>
            <w:r>
              <w:rPr>
                <w:rFonts w:ascii="Times New Roman" w:hAnsi="Times New Roman"/>
                <w:sz w:val="24"/>
              </w:rPr>
              <w:t xml:space="preserve">Ce sont les fours </w:t>
            </w:r>
            <w:r w:rsidRPr="009278A9">
              <w:rPr>
                <w:rFonts w:ascii="Times New Roman" w:hAnsi="Times New Roman"/>
                <w:sz w:val="24"/>
              </w:rPr>
              <w:t>Mont fort et AJA- MALI.</w:t>
            </w:r>
          </w:p>
          <w:p w:rsidR="00DC314D" w:rsidRPr="00913F84" w:rsidRDefault="00E95D71">
            <w:pPr>
              <w:autoSpaceDE w:val="0"/>
              <w:autoSpaceDN w:val="0"/>
              <w:adjustRightInd w:val="0"/>
              <w:spacing w:line="360" w:lineRule="auto"/>
              <w:jc w:val="both"/>
              <w:rPr>
                <w:rFonts w:asciiTheme="minorHAnsi" w:hAnsiTheme="minorHAnsi" w:cs="Tahoma"/>
                <w:b/>
                <w:sz w:val="24"/>
                <w:szCs w:val="24"/>
                <w:highlight w:val="yellow"/>
              </w:rPr>
            </w:pPr>
            <w:r w:rsidRPr="006E0389">
              <w:rPr>
                <w:rFonts w:asciiTheme="minorHAnsi" w:hAnsiTheme="minorHAnsi" w:cs="Tahoma"/>
                <w:b/>
                <w:sz w:val="24"/>
                <w:szCs w:val="24"/>
                <w:u w:val="single"/>
              </w:rPr>
              <w:t>Cible non atteinte</w:t>
            </w:r>
          </w:p>
        </w:tc>
      </w:tr>
      <w:tr w:rsidR="00DC314D" w:rsidRPr="00A929CE" w:rsidTr="008C046F">
        <w:tc>
          <w:tcPr>
            <w:tcW w:w="9243" w:type="dxa"/>
            <w:gridSpan w:val="2"/>
            <w:shd w:val="clear" w:color="auto" w:fill="BFBFBF" w:themeFill="background1" w:themeFillShade="BF"/>
          </w:tcPr>
          <w:p w:rsidR="00DC314D" w:rsidRPr="00A929CE" w:rsidRDefault="00DC314D" w:rsidP="00DC314D">
            <w:pPr>
              <w:autoSpaceDE w:val="0"/>
              <w:autoSpaceDN w:val="0"/>
              <w:adjustRightInd w:val="0"/>
              <w:spacing w:line="360" w:lineRule="auto"/>
              <w:jc w:val="center"/>
              <w:rPr>
                <w:rFonts w:asciiTheme="minorHAnsi" w:hAnsiTheme="minorHAnsi" w:cs="Tahoma"/>
                <w:i/>
                <w:sz w:val="24"/>
                <w:szCs w:val="24"/>
              </w:rPr>
            </w:pPr>
            <w:r w:rsidRPr="00A929CE">
              <w:rPr>
                <w:rFonts w:asciiTheme="minorHAnsi" w:hAnsiTheme="minorHAnsi" w:cs="Tahoma"/>
                <w:b/>
                <w:bCs/>
                <w:i/>
                <w:sz w:val="24"/>
                <w:szCs w:val="24"/>
              </w:rPr>
              <w:t>Gestion des eaux pluviales</w:t>
            </w:r>
          </w:p>
        </w:tc>
        <w:tc>
          <w:tcPr>
            <w:tcW w:w="6379" w:type="dxa"/>
            <w:shd w:val="clear" w:color="auto" w:fill="BFBFBF" w:themeFill="background1" w:themeFillShade="BF"/>
          </w:tcPr>
          <w:p w:rsidR="00DC314D" w:rsidRPr="00A929CE" w:rsidRDefault="00DC314D" w:rsidP="00DC314D">
            <w:pPr>
              <w:autoSpaceDE w:val="0"/>
              <w:autoSpaceDN w:val="0"/>
              <w:adjustRightInd w:val="0"/>
              <w:spacing w:line="360" w:lineRule="auto"/>
              <w:jc w:val="center"/>
              <w:rPr>
                <w:rFonts w:asciiTheme="minorHAnsi" w:hAnsiTheme="minorHAnsi" w:cs="Tahoma"/>
                <w:b/>
                <w:bCs/>
                <w:i/>
                <w:sz w:val="24"/>
                <w:szCs w:val="24"/>
              </w:rPr>
            </w:pPr>
          </w:p>
        </w:tc>
      </w:tr>
      <w:tr w:rsidR="00DC314D" w:rsidRPr="00A929CE" w:rsidTr="008C046F">
        <w:tc>
          <w:tcPr>
            <w:tcW w:w="2439" w:type="dxa"/>
            <w:shd w:val="clear" w:color="auto" w:fill="BFBFBF" w:themeFill="background1" w:themeFillShade="BF"/>
          </w:tcPr>
          <w:p w:rsidR="00DC314D" w:rsidRPr="00A929CE" w:rsidRDefault="00DC314D" w:rsidP="00DC314D">
            <w:pPr>
              <w:spacing w:line="360" w:lineRule="auto"/>
              <w:jc w:val="both"/>
              <w:rPr>
                <w:rFonts w:asciiTheme="minorHAnsi" w:hAnsiTheme="minorHAnsi" w:cs="Tahoma"/>
                <w:b/>
                <w:bCs/>
                <w:sz w:val="24"/>
                <w:szCs w:val="24"/>
              </w:rPr>
            </w:pPr>
            <w:r w:rsidRPr="00A929CE">
              <w:rPr>
                <w:rFonts w:asciiTheme="minorHAnsi" w:hAnsiTheme="minorHAnsi" w:cs="Tahoma"/>
                <w:b/>
                <w:bCs/>
                <w:sz w:val="24"/>
                <w:szCs w:val="24"/>
              </w:rPr>
              <w:t>R23 : Volet eaux pluviales dans les PSA</w:t>
            </w:r>
          </w:p>
        </w:tc>
        <w:tc>
          <w:tcPr>
            <w:tcW w:w="6804" w:type="dxa"/>
          </w:tcPr>
          <w:p w:rsidR="00DC314D" w:rsidRPr="00A929CE" w:rsidRDefault="00DC314D" w:rsidP="00DC314D">
            <w:pPr>
              <w:autoSpaceDE w:val="0"/>
              <w:autoSpaceDN w:val="0"/>
              <w:adjustRightInd w:val="0"/>
              <w:spacing w:line="360" w:lineRule="auto"/>
              <w:jc w:val="both"/>
              <w:rPr>
                <w:rFonts w:asciiTheme="minorHAnsi" w:hAnsiTheme="minorHAnsi" w:cs="Tahoma"/>
                <w:sz w:val="24"/>
                <w:szCs w:val="24"/>
              </w:rPr>
            </w:pPr>
            <w:r w:rsidRPr="00A929CE">
              <w:rPr>
                <w:rFonts w:asciiTheme="minorHAnsi" w:hAnsiTheme="minorHAnsi" w:cs="Tahoma"/>
                <w:sz w:val="24"/>
                <w:szCs w:val="24"/>
              </w:rPr>
              <w:t>100% des villes de plus de 50 000 habitants ont défini un PSA comprenant un volet gestion des eaux pluviales avant 2010, et 25% d’entre elles ont mis en œuvre tout ou partie de ce plan avant 2015. 50% des villes de plus de 5.000 habitants ont défini un PSA comprenant un volet eaux pluviales avant 2015, 25% d’entre elles ont réalisé une étude technique détaillée permettant de chiffrer un plan d’investissement prioritaire et 10% d’entre elles ont mis en œuvre tout ou partie de ce plan avant 2025.</w:t>
            </w:r>
          </w:p>
        </w:tc>
        <w:tc>
          <w:tcPr>
            <w:tcW w:w="6379" w:type="dxa"/>
          </w:tcPr>
          <w:p w:rsidR="00DC314D" w:rsidRPr="00A929CE" w:rsidRDefault="00DC314D" w:rsidP="00DC314D">
            <w:pPr>
              <w:autoSpaceDE w:val="0"/>
              <w:autoSpaceDN w:val="0"/>
              <w:adjustRightInd w:val="0"/>
              <w:spacing w:line="360" w:lineRule="auto"/>
              <w:jc w:val="both"/>
              <w:rPr>
                <w:rFonts w:asciiTheme="minorHAnsi" w:hAnsiTheme="minorHAnsi" w:cs="Tahoma"/>
                <w:sz w:val="24"/>
                <w:szCs w:val="24"/>
              </w:rPr>
            </w:pPr>
            <w:r w:rsidRPr="00A929CE">
              <w:rPr>
                <w:rFonts w:asciiTheme="minorHAnsi" w:hAnsiTheme="minorHAnsi" w:cs="Tahoma"/>
                <w:bCs/>
                <w:sz w:val="24"/>
                <w:szCs w:val="24"/>
              </w:rPr>
              <w:t>Très partiellement réalisé (environ 20 PSA « élaborés/relus)</w:t>
            </w:r>
          </w:p>
          <w:p w:rsidR="00DC314D" w:rsidRPr="00A929CE" w:rsidRDefault="00DC314D" w:rsidP="00DC314D">
            <w:pPr>
              <w:autoSpaceDE w:val="0"/>
              <w:autoSpaceDN w:val="0"/>
              <w:adjustRightInd w:val="0"/>
              <w:spacing w:line="360" w:lineRule="auto"/>
              <w:jc w:val="both"/>
              <w:rPr>
                <w:rFonts w:asciiTheme="minorHAnsi" w:hAnsiTheme="minorHAnsi" w:cs="Tahoma"/>
                <w:sz w:val="24"/>
                <w:szCs w:val="24"/>
              </w:rPr>
            </w:pPr>
            <w:r w:rsidRPr="00A929CE">
              <w:rPr>
                <w:rFonts w:asciiTheme="minorHAnsi" w:hAnsiTheme="minorHAnsi" w:cs="Tahoma"/>
                <w:bCs/>
                <w:i/>
                <w:iCs/>
                <w:sz w:val="24"/>
                <w:szCs w:val="24"/>
              </w:rPr>
              <w:t>Réalisations totales (2017)</w:t>
            </w:r>
          </w:p>
          <w:p w:rsidR="00DC314D" w:rsidRPr="00A929CE" w:rsidRDefault="00DC314D" w:rsidP="00DC314D">
            <w:pPr>
              <w:autoSpaceDE w:val="0"/>
              <w:autoSpaceDN w:val="0"/>
              <w:adjustRightInd w:val="0"/>
              <w:spacing w:line="360" w:lineRule="auto"/>
              <w:jc w:val="both"/>
              <w:rPr>
                <w:rFonts w:asciiTheme="minorHAnsi" w:hAnsiTheme="minorHAnsi" w:cs="Tahoma"/>
                <w:sz w:val="24"/>
                <w:szCs w:val="24"/>
              </w:rPr>
            </w:pPr>
            <w:r w:rsidRPr="00A929CE">
              <w:rPr>
                <w:rFonts w:asciiTheme="minorHAnsi" w:hAnsiTheme="minorHAnsi" w:cs="Tahoma"/>
                <w:bCs/>
                <w:i/>
                <w:iCs/>
                <w:sz w:val="24"/>
                <w:szCs w:val="24"/>
              </w:rPr>
              <w:t>100406 mètres linéaires de collecteurs construits</w:t>
            </w:r>
          </w:p>
          <w:p w:rsidR="00DC314D" w:rsidRPr="00A929CE" w:rsidRDefault="00DC314D" w:rsidP="00DC314D">
            <w:pPr>
              <w:autoSpaceDE w:val="0"/>
              <w:autoSpaceDN w:val="0"/>
              <w:adjustRightInd w:val="0"/>
              <w:spacing w:line="360" w:lineRule="auto"/>
              <w:jc w:val="both"/>
              <w:rPr>
                <w:rFonts w:asciiTheme="minorHAnsi" w:hAnsiTheme="minorHAnsi" w:cs="Tahoma"/>
                <w:sz w:val="24"/>
                <w:szCs w:val="24"/>
              </w:rPr>
            </w:pPr>
            <w:r w:rsidRPr="00A929CE">
              <w:rPr>
                <w:rFonts w:asciiTheme="minorHAnsi" w:hAnsiTheme="minorHAnsi" w:cs="Tahoma"/>
                <w:bCs/>
                <w:i/>
                <w:iCs/>
                <w:sz w:val="24"/>
                <w:szCs w:val="24"/>
              </w:rPr>
              <w:t>353357 ml de caniveaux construits</w:t>
            </w:r>
          </w:p>
          <w:p w:rsidR="00DC314D" w:rsidRPr="00A929CE" w:rsidRDefault="00DC314D" w:rsidP="00DC314D">
            <w:pPr>
              <w:autoSpaceDE w:val="0"/>
              <w:autoSpaceDN w:val="0"/>
              <w:adjustRightInd w:val="0"/>
              <w:spacing w:line="360" w:lineRule="auto"/>
              <w:jc w:val="both"/>
              <w:rPr>
                <w:rFonts w:asciiTheme="minorHAnsi" w:hAnsiTheme="minorHAnsi" w:cs="Tahoma"/>
                <w:sz w:val="24"/>
                <w:szCs w:val="24"/>
              </w:rPr>
            </w:pPr>
            <w:r w:rsidRPr="00A929CE">
              <w:rPr>
                <w:rFonts w:asciiTheme="minorHAnsi" w:hAnsiTheme="minorHAnsi" w:cs="Tahoma"/>
                <w:bCs/>
                <w:i/>
                <w:iCs/>
                <w:sz w:val="24"/>
                <w:szCs w:val="24"/>
              </w:rPr>
              <w:t>14819 ml de collecteurs réhabilités</w:t>
            </w:r>
          </w:p>
          <w:p w:rsidR="00DC314D" w:rsidRPr="00A929CE" w:rsidRDefault="00DC314D" w:rsidP="00DC314D">
            <w:pPr>
              <w:autoSpaceDE w:val="0"/>
              <w:autoSpaceDN w:val="0"/>
              <w:adjustRightInd w:val="0"/>
              <w:spacing w:line="360" w:lineRule="auto"/>
              <w:jc w:val="both"/>
              <w:rPr>
                <w:rFonts w:asciiTheme="minorHAnsi" w:hAnsiTheme="minorHAnsi" w:cs="Tahoma"/>
                <w:sz w:val="24"/>
                <w:szCs w:val="24"/>
              </w:rPr>
            </w:pPr>
            <w:r w:rsidRPr="00A929CE">
              <w:rPr>
                <w:rFonts w:asciiTheme="minorHAnsi" w:hAnsiTheme="minorHAnsi" w:cs="Tahoma"/>
                <w:bCs/>
                <w:i/>
                <w:iCs/>
                <w:sz w:val="24"/>
                <w:szCs w:val="24"/>
              </w:rPr>
              <w:t>128386 ml de caniveaux réhabilités</w:t>
            </w:r>
          </w:p>
          <w:p w:rsidR="00DC314D" w:rsidRPr="00A929CE" w:rsidRDefault="00DC314D" w:rsidP="00DC314D">
            <w:pPr>
              <w:autoSpaceDE w:val="0"/>
              <w:autoSpaceDN w:val="0"/>
              <w:adjustRightInd w:val="0"/>
              <w:spacing w:line="360" w:lineRule="auto"/>
              <w:jc w:val="both"/>
              <w:rPr>
                <w:rFonts w:asciiTheme="minorHAnsi" w:hAnsiTheme="minorHAnsi" w:cs="Tahoma"/>
                <w:b/>
                <w:sz w:val="24"/>
                <w:szCs w:val="24"/>
              </w:rPr>
            </w:pPr>
          </w:p>
        </w:tc>
      </w:tr>
      <w:tr w:rsidR="00DC314D" w:rsidRPr="00A929CE" w:rsidTr="008C046F">
        <w:tc>
          <w:tcPr>
            <w:tcW w:w="9243" w:type="dxa"/>
            <w:gridSpan w:val="2"/>
            <w:shd w:val="clear" w:color="auto" w:fill="BFBFBF" w:themeFill="background1" w:themeFillShade="BF"/>
          </w:tcPr>
          <w:p w:rsidR="00DC314D" w:rsidRPr="00A929CE" w:rsidRDefault="00DC314D" w:rsidP="00DC314D">
            <w:pPr>
              <w:autoSpaceDE w:val="0"/>
              <w:autoSpaceDN w:val="0"/>
              <w:adjustRightInd w:val="0"/>
              <w:spacing w:line="360" w:lineRule="auto"/>
              <w:jc w:val="center"/>
              <w:rPr>
                <w:rFonts w:asciiTheme="minorHAnsi" w:hAnsiTheme="minorHAnsi" w:cs="Tahoma"/>
                <w:i/>
                <w:sz w:val="24"/>
                <w:szCs w:val="24"/>
              </w:rPr>
            </w:pPr>
            <w:r w:rsidRPr="00A929CE">
              <w:rPr>
                <w:rFonts w:asciiTheme="minorHAnsi" w:hAnsiTheme="minorHAnsi" w:cs="Tahoma"/>
                <w:b/>
                <w:bCs/>
                <w:i/>
                <w:sz w:val="24"/>
                <w:szCs w:val="24"/>
              </w:rPr>
              <w:t>Education à l’hygiène et IEC</w:t>
            </w:r>
          </w:p>
        </w:tc>
        <w:tc>
          <w:tcPr>
            <w:tcW w:w="6379" w:type="dxa"/>
            <w:shd w:val="clear" w:color="auto" w:fill="BFBFBF" w:themeFill="background1" w:themeFillShade="BF"/>
          </w:tcPr>
          <w:p w:rsidR="00DC314D" w:rsidRPr="00A929CE" w:rsidRDefault="00DC314D" w:rsidP="00DC314D">
            <w:pPr>
              <w:autoSpaceDE w:val="0"/>
              <w:autoSpaceDN w:val="0"/>
              <w:adjustRightInd w:val="0"/>
              <w:spacing w:line="360" w:lineRule="auto"/>
              <w:jc w:val="center"/>
              <w:rPr>
                <w:rFonts w:asciiTheme="minorHAnsi" w:hAnsiTheme="minorHAnsi" w:cs="Tahoma"/>
                <w:b/>
                <w:bCs/>
                <w:i/>
                <w:sz w:val="24"/>
                <w:szCs w:val="24"/>
              </w:rPr>
            </w:pPr>
          </w:p>
        </w:tc>
      </w:tr>
      <w:tr w:rsidR="00DC314D" w:rsidRPr="00A929CE" w:rsidTr="008C046F">
        <w:tc>
          <w:tcPr>
            <w:tcW w:w="2439" w:type="dxa"/>
            <w:shd w:val="clear" w:color="auto" w:fill="BFBFBF" w:themeFill="background1" w:themeFillShade="BF"/>
          </w:tcPr>
          <w:p w:rsidR="00DC314D" w:rsidRPr="00A929CE" w:rsidRDefault="00DC314D" w:rsidP="00DC314D">
            <w:pPr>
              <w:spacing w:line="360" w:lineRule="auto"/>
              <w:jc w:val="both"/>
              <w:rPr>
                <w:rFonts w:asciiTheme="minorHAnsi" w:hAnsiTheme="minorHAnsi" w:cs="Tahoma"/>
                <w:b/>
                <w:bCs/>
                <w:sz w:val="24"/>
                <w:szCs w:val="24"/>
              </w:rPr>
            </w:pPr>
            <w:r w:rsidRPr="00A929CE">
              <w:rPr>
                <w:rFonts w:asciiTheme="minorHAnsi" w:hAnsiTheme="minorHAnsi" w:cs="Tahoma"/>
                <w:b/>
                <w:bCs/>
                <w:sz w:val="24"/>
                <w:szCs w:val="24"/>
              </w:rPr>
              <w:t>R24 : Education à l’hygiène dans les écoles</w:t>
            </w:r>
          </w:p>
        </w:tc>
        <w:tc>
          <w:tcPr>
            <w:tcW w:w="6804" w:type="dxa"/>
          </w:tcPr>
          <w:p w:rsidR="00DC314D" w:rsidRPr="00A929CE" w:rsidRDefault="00DC314D" w:rsidP="00DC314D">
            <w:pPr>
              <w:autoSpaceDE w:val="0"/>
              <w:autoSpaceDN w:val="0"/>
              <w:adjustRightInd w:val="0"/>
              <w:spacing w:line="360" w:lineRule="auto"/>
              <w:jc w:val="both"/>
              <w:rPr>
                <w:rFonts w:asciiTheme="minorHAnsi" w:hAnsiTheme="minorHAnsi" w:cs="Tahoma"/>
                <w:sz w:val="24"/>
                <w:szCs w:val="24"/>
              </w:rPr>
            </w:pPr>
            <w:r w:rsidRPr="00A929CE">
              <w:rPr>
                <w:rFonts w:asciiTheme="minorHAnsi" w:hAnsiTheme="minorHAnsi" w:cs="Tahoma"/>
                <w:sz w:val="24"/>
                <w:szCs w:val="24"/>
              </w:rPr>
              <w:t xml:space="preserve">L’éducation environnementale et l’hygiène sont intégrées dans le cursus de toutes les écoles primaires et secondaires avant 2015. Des supports spécifiques sont mis au point et diffusés par les ministères en charge de la santé et de l’éducation, avec l’appui technique de la DNACPN </w:t>
            </w:r>
          </w:p>
        </w:tc>
        <w:tc>
          <w:tcPr>
            <w:tcW w:w="6379" w:type="dxa"/>
          </w:tcPr>
          <w:p w:rsidR="00DC314D" w:rsidRPr="00A929CE" w:rsidRDefault="00DC314D" w:rsidP="00DC314D">
            <w:pPr>
              <w:autoSpaceDE w:val="0"/>
              <w:autoSpaceDN w:val="0"/>
              <w:adjustRightInd w:val="0"/>
              <w:spacing w:line="360" w:lineRule="auto"/>
              <w:jc w:val="both"/>
              <w:rPr>
                <w:rFonts w:asciiTheme="minorHAnsi" w:hAnsiTheme="minorHAnsi" w:cs="Tahoma"/>
                <w:sz w:val="24"/>
                <w:szCs w:val="24"/>
              </w:rPr>
            </w:pPr>
            <w:r w:rsidRPr="00A929CE">
              <w:rPr>
                <w:rFonts w:asciiTheme="minorHAnsi" w:hAnsiTheme="minorHAnsi" w:cs="Tahoma"/>
                <w:bCs/>
                <w:sz w:val="24"/>
                <w:szCs w:val="24"/>
              </w:rPr>
              <w:t>Les curricula dans l’enseignement primaire ont bénéficié de l’intégration de L’éducation environnementale et l’hygiène</w:t>
            </w:r>
            <w:r w:rsidR="00913F84">
              <w:rPr>
                <w:rFonts w:asciiTheme="minorHAnsi" w:hAnsiTheme="minorHAnsi" w:cs="Tahoma"/>
                <w:bCs/>
                <w:sz w:val="24"/>
                <w:szCs w:val="24"/>
              </w:rPr>
              <w:t>.</w:t>
            </w:r>
          </w:p>
          <w:p w:rsidR="00DC314D" w:rsidRPr="00A929CE" w:rsidRDefault="00DC314D" w:rsidP="00DC314D">
            <w:pPr>
              <w:autoSpaceDE w:val="0"/>
              <w:autoSpaceDN w:val="0"/>
              <w:adjustRightInd w:val="0"/>
              <w:spacing w:line="360" w:lineRule="auto"/>
              <w:jc w:val="both"/>
              <w:rPr>
                <w:rFonts w:asciiTheme="minorHAnsi" w:hAnsiTheme="minorHAnsi" w:cs="Tahoma"/>
                <w:b/>
                <w:sz w:val="24"/>
                <w:szCs w:val="24"/>
              </w:rPr>
            </w:pPr>
          </w:p>
        </w:tc>
      </w:tr>
      <w:tr w:rsidR="00DC314D" w:rsidRPr="00A929CE" w:rsidTr="008C046F">
        <w:tc>
          <w:tcPr>
            <w:tcW w:w="2439" w:type="dxa"/>
            <w:shd w:val="clear" w:color="auto" w:fill="BFBFBF" w:themeFill="background1" w:themeFillShade="BF"/>
          </w:tcPr>
          <w:p w:rsidR="00DC314D" w:rsidRPr="00A929CE" w:rsidRDefault="00DC314D" w:rsidP="00DC314D">
            <w:pPr>
              <w:spacing w:line="360" w:lineRule="auto"/>
              <w:jc w:val="both"/>
              <w:rPr>
                <w:rFonts w:asciiTheme="minorHAnsi" w:hAnsiTheme="minorHAnsi" w:cs="Tahoma"/>
                <w:b/>
                <w:bCs/>
                <w:sz w:val="24"/>
                <w:szCs w:val="24"/>
              </w:rPr>
            </w:pPr>
            <w:r w:rsidRPr="00A929CE">
              <w:rPr>
                <w:rFonts w:asciiTheme="minorHAnsi" w:hAnsiTheme="minorHAnsi" w:cs="Tahoma"/>
                <w:b/>
                <w:bCs/>
                <w:sz w:val="24"/>
                <w:szCs w:val="24"/>
              </w:rPr>
              <w:t>R25 : Campagnes d’IEC</w:t>
            </w:r>
          </w:p>
        </w:tc>
        <w:tc>
          <w:tcPr>
            <w:tcW w:w="6804" w:type="dxa"/>
          </w:tcPr>
          <w:p w:rsidR="00DC314D" w:rsidRPr="00A929CE" w:rsidRDefault="00DC314D" w:rsidP="00DC314D">
            <w:pPr>
              <w:autoSpaceDE w:val="0"/>
              <w:autoSpaceDN w:val="0"/>
              <w:adjustRightInd w:val="0"/>
              <w:spacing w:line="360" w:lineRule="auto"/>
              <w:jc w:val="both"/>
              <w:rPr>
                <w:rFonts w:asciiTheme="minorHAnsi" w:hAnsiTheme="minorHAnsi" w:cs="Tahoma"/>
                <w:sz w:val="24"/>
                <w:szCs w:val="24"/>
              </w:rPr>
            </w:pPr>
            <w:r w:rsidRPr="00A929CE">
              <w:rPr>
                <w:rFonts w:asciiTheme="minorHAnsi" w:hAnsiTheme="minorHAnsi" w:cs="Tahoma"/>
                <w:sz w:val="24"/>
                <w:szCs w:val="24"/>
              </w:rPr>
              <w:t>Des campagnes d’IEC massives (100 000 ménages touchés par an) seront organisées au travers des ONG et autres structures spécialisées</w:t>
            </w:r>
          </w:p>
        </w:tc>
        <w:tc>
          <w:tcPr>
            <w:tcW w:w="6379" w:type="dxa"/>
          </w:tcPr>
          <w:p w:rsidR="00DC314D" w:rsidRPr="00A929CE" w:rsidRDefault="00DC314D" w:rsidP="00DC314D">
            <w:pPr>
              <w:autoSpaceDE w:val="0"/>
              <w:autoSpaceDN w:val="0"/>
              <w:adjustRightInd w:val="0"/>
              <w:spacing w:line="360" w:lineRule="auto"/>
              <w:jc w:val="both"/>
              <w:rPr>
                <w:rFonts w:asciiTheme="minorHAnsi" w:hAnsiTheme="minorHAnsi" w:cs="Tahoma"/>
                <w:sz w:val="24"/>
                <w:szCs w:val="24"/>
              </w:rPr>
            </w:pPr>
            <w:r w:rsidRPr="00A929CE">
              <w:rPr>
                <w:rFonts w:asciiTheme="minorHAnsi" w:hAnsiTheme="minorHAnsi" w:cs="Tahoma"/>
                <w:bCs/>
                <w:sz w:val="24"/>
                <w:szCs w:val="24"/>
              </w:rPr>
              <w:t>En 2017, des séances de sensibilisation ont touché 56.929 personnes et des émissions radiophoniques ont touché 2.031.295 (Animées par la DNACPN et ses démembrements)</w:t>
            </w:r>
          </w:p>
          <w:p w:rsidR="00DC314D" w:rsidRPr="00A929CE" w:rsidRDefault="00DC314D" w:rsidP="00DC314D">
            <w:pPr>
              <w:autoSpaceDE w:val="0"/>
              <w:autoSpaceDN w:val="0"/>
              <w:adjustRightInd w:val="0"/>
              <w:spacing w:line="360" w:lineRule="auto"/>
              <w:jc w:val="both"/>
              <w:rPr>
                <w:rFonts w:asciiTheme="minorHAnsi" w:hAnsiTheme="minorHAnsi" w:cs="Tahoma"/>
                <w:sz w:val="24"/>
                <w:szCs w:val="24"/>
              </w:rPr>
            </w:pPr>
          </w:p>
        </w:tc>
      </w:tr>
      <w:tr w:rsidR="00DC314D" w:rsidRPr="00A929CE" w:rsidTr="008C046F">
        <w:tc>
          <w:tcPr>
            <w:tcW w:w="2439" w:type="dxa"/>
            <w:shd w:val="clear" w:color="auto" w:fill="BFBFBF" w:themeFill="background1" w:themeFillShade="BF"/>
          </w:tcPr>
          <w:p w:rsidR="00DC314D" w:rsidRPr="00A929CE" w:rsidRDefault="00DC314D" w:rsidP="00DC314D">
            <w:pPr>
              <w:spacing w:line="360" w:lineRule="auto"/>
              <w:jc w:val="both"/>
              <w:rPr>
                <w:rFonts w:asciiTheme="minorHAnsi" w:hAnsiTheme="minorHAnsi" w:cs="Tahoma"/>
                <w:b/>
                <w:bCs/>
                <w:sz w:val="24"/>
                <w:szCs w:val="24"/>
              </w:rPr>
            </w:pPr>
            <w:r w:rsidRPr="00A929CE">
              <w:rPr>
                <w:rFonts w:asciiTheme="minorHAnsi" w:hAnsiTheme="minorHAnsi" w:cs="Tahoma"/>
                <w:b/>
                <w:bCs/>
                <w:sz w:val="24"/>
                <w:szCs w:val="24"/>
              </w:rPr>
              <w:t>R26 : Intégration eau potable et hygiène</w:t>
            </w:r>
          </w:p>
        </w:tc>
        <w:tc>
          <w:tcPr>
            <w:tcW w:w="6804" w:type="dxa"/>
          </w:tcPr>
          <w:p w:rsidR="00DC314D" w:rsidRPr="00A929CE" w:rsidRDefault="00DC314D" w:rsidP="00DC314D">
            <w:pPr>
              <w:autoSpaceDE w:val="0"/>
              <w:autoSpaceDN w:val="0"/>
              <w:adjustRightInd w:val="0"/>
              <w:spacing w:line="360" w:lineRule="auto"/>
              <w:jc w:val="both"/>
              <w:rPr>
                <w:rFonts w:asciiTheme="minorHAnsi" w:hAnsiTheme="minorHAnsi" w:cs="Tahoma"/>
                <w:sz w:val="24"/>
                <w:szCs w:val="24"/>
              </w:rPr>
            </w:pPr>
            <w:r w:rsidRPr="00A929CE">
              <w:rPr>
                <w:rFonts w:asciiTheme="minorHAnsi" w:hAnsiTheme="minorHAnsi" w:cs="Tahoma"/>
                <w:sz w:val="24"/>
                <w:szCs w:val="24"/>
              </w:rPr>
              <w:t>Les projets d’investissement en eau potable menés au niveau local et national intègrent obligatoirement une composante assainissement et hygiène. L’objectif est de 75% des projets en 2010 et de 100% des projets en 2015</w:t>
            </w:r>
          </w:p>
        </w:tc>
        <w:tc>
          <w:tcPr>
            <w:tcW w:w="6379" w:type="dxa"/>
          </w:tcPr>
          <w:p w:rsidR="00DC314D" w:rsidRPr="00A929CE" w:rsidRDefault="00DC314D" w:rsidP="00DC314D">
            <w:pPr>
              <w:autoSpaceDE w:val="0"/>
              <w:autoSpaceDN w:val="0"/>
              <w:adjustRightInd w:val="0"/>
              <w:spacing w:line="360" w:lineRule="auto"/>
              <w:jc w:val="both"/>
              <w:rPr>
                <w:rFonts w:asciiTheme="minorHAnsi" w:hAnsiTheme="minorHAnsi" w:cs="Tahoma"/>
                <w:sz w:val="24"/>
                <w:szCs w:val="24"/>
              </w:rPr>
            </w:pPr>
            <w:r w:rsidRPr="00A929CE">
              <w:rPr>
                <w:rFonts w:asciiTheme="minorHAnsi" w:hAnsiTheme="minorHAnsi" w:cs="Tahoma"/>
                <w:bCs/>
                <w:sz w:val="24"/>
                <w:szCs w:val="24"/>
              </w:rPr>
              <w:t>La quasi-totalité des projets/Programmes dans le sous-secteur de l’eau potable y associe des activités en lien avec l’assainissement dans le cadre des mesures d’accompagnement. C’est une exigence pour certains bailleurs de fonds</w:t>
            </w:r>
          </w:p>
          <w:p w:rsidR="00DC314D" w:rsidRPr="00A929CE" w:rsidRDefault="00DC314D" w:rsidP="00DC314D">
            <w:pPr>
              <w:autoSpaceDE w:val="0"/>
              <w:autoSpaceDN w:val="0"/>
              <w:adjustRightInd w:val="0"/>
              <w:spacing w:line="360" w:lineRule="auto"/>
              <w:jc w:val="both"/>
              <w:rPr>
                <w:rFonts w:asciiTheme="minorHAnsi" w:hAnsiTheme="minorHAnsi" w:cs="Tahoma"/>
                <w:sz w:val="24"/>
                <w:szCs w:val="24"/>
              </w:rPr>
            </w:pPr>
          </w:p>
        </w:tc>
      </w:tr>
      <w:tr w:rsidR="00DC314D" w:rsidRPr="00A929CE" w:rsidTr="008C046F">
        <w:tc>
          <w:tcPr>
            <w:tcW w:w="9243" w:type="dxa"/>
            <w:gridSpan w:val="2"/>
            <w:shd w:val="clear" w:color="auto" w:fill="BFBFBF" w:themeFill="background1" w:themeFillShade="BF"/>
          </w:tcPr>
          <w:p w:rsidR="00DC314D" w:rsidRPr="00A929CE" w:rsidRDefault="00DC314D" w:rsidP="00DC314D">
            <w:pPr>
              <w:autoSpaceDE w:val="0"/>
              <w:autoSpaceDN w:val="0"/>
              <w:adjustRightInd w:val="0"/>
              <w:spacing w:line="360" w:lineRule="auto"/>
              <w:jc w:val="center"/>
              <w:rPr>
                <w:rFonts w:asciiTheme="minorHAnsi" w:hAnsiTheme="minorHAnsi" w:cs="Tahoma"/>
                <w:i/>
                <w:sz w:val="24"/>
                <w:szCs w:val="24"/>
              </w:rPr>
            </w:pPr>
            <w:r w:rsidRPr="00A929CE">
              <w:rPr>
                <w:rFonts w:asciiTheme="minorHAnsi" w:hAnsiTheme="minorHAnsi" w:cs="Tahoma"/>
                <w:b/>
                <w:bCs/>
                <w:i/>
                <w:sz w:val="24"/>
                <w:szCs w:val="24"/>
              </w:rPr>
              <w:t>Planification au niveau communal</w:t>
            </w:r>
          </w:p>
        </w:tc>
        <w:tc>
          <w:tcPr>
            <w:tcW w:w="6379" w:type="dxa"/>
            <w:shd w:val="clear" w:color="auto" w:fill="BFBFBF" w:themeFill="background1" w:themeFillShade="BF"/>
          </w:tcPr>
          <w:p w:rsidR="00DC314D" w:rsidRPr="00A929CE" w:rsidRDefault="00DC314D" w:rsidP="00DC314D">
            <w:pPr>
              <w:autoSpaceDE w:val="0"/>
              <w:autoSpaceDN w:val="0"/>
              <w:adjustRightInd w:val="0"/>
              <w:spacing w:line="360" w:lineRule="auto"/>
              <w:jc w:val="center"/>
              <w:rPr>
                <w:rFonts w:asciiTheme="minorHAnsi" w:hAnsiTheme="minorHAnsi" w:cs="Tahoma"/>
                <w:b/>
                <w:bCs/>
                <w:i/>
                <w:sz w:val="24"/>
                <w:szCs w:val="24"/>
              </w:rPr>
            </w:pPr>
          </w:p>
        </w:tc>
      </w:tr>
      <w:tr w:rsidR="00DC314D" w:rsidRPr="00A929CE" w:rsidTr="008C046F">
        <w:tc>
          <w:tcPr>
            <w:tcW w:w="2439" w:type="dxa"/>
            <w:shd w:val="clear" w:color="auto" w:fill="BFBFBF" w:themeFill="background1" w:themeFillShade="BF"/>
          </w:tcPr>
          <w:p w:rsidR="00DC314D" w:rsidRPr="00A929CE" w:rsidRDefault="00DC314D" w:rsidP="00DC314D">
            <w:pPr>
              <w:spacing w:line="360" w:lineRule="auto"/>
              <w:jc w:val="both"/>
              <w:rPr>
                <w:rFonts w:asciiTheme="minorHAnsi" w:hAnsiTheme="minorHAnsi" w:cs="Tahoma"/>
                <w:b/>
                <w:bCs/>
                <w:sz w:val="24"/>
                <w:szCs w:val="24"/>
              </w:rPr>
            </w:pPr>
            <w:r w:rsidRPr="00A929CE">
              <w:rPr>
                <w:rFonts w:asciiTheme="minorHAnsi" w:hAnsiTheme="minorHAnsi" w:cs="Tahoma"/>
                <w:b/>
                <w:bCs/>
                <w:sz w:val="24"/>
                <w:szCs w:val="24"/>
              </w:rPr>
              <w:t>R27 : Plans Stratégiques d’Assainissement</w:t>
            </w:r>
          </w:p>
        </w:tc>
        <w:tc>
          <w:tcPr>
            <w:tcW w:w="6804" w:type="dxa"/>
          </w:tcPr>
          <w:p w:rsidR="00DC314D" w:rsidRPr="00A929CE" w:rsidRDefault="00DC314D" w:rsidP="00DC314D">
            <w:pPr>
              <w:autoSpaceDE w:val="0"/>
              <w:autoSpaceDN w:val="0"/>
              <w:adjustRightInd w:val="0"/>
              <w:spacing w:line="360" w:lineRule="auto"/>
              <w:jc w:val="both"/>
              <w:rPr>
                <w:rFonts w:asciiTheme="minorHAnsi" w:hAnsiTheme="minorHAnsi" w:cs="Tahoma"/>
                <w:sz w:val="24"/>
                <w:szCs w:val="24"/>
              </w:rPr>
            </w:pPr>
            <w:r w:rsidRPr="00A929CE">
              <w:rPr>
                <w:rFonts w:asciiTheme="minorHAnsi" w:hAnsiTheme="minorHAnsi" w:cs="Tahoma"/>
                <w:sz w:val="24"/>
                <w:szCs w:val="24"/>
              </w:rPr>
              <w:t>Dans les petites villes ou les communes rurales, les Plans de Développement Communaux doivent comporter un chapitre « assainissement » qui détaille les objectifs à atteindre et les moyens à mobiliser. D’ici à 2010, 100% des communes de plus de 50 000 habitants ont finalisé leur Plan stratégique d’assainissement</w:t>
            </w:r>
          </w:p>
        </w:tc>
        <w:tc>
          <w:tcPr>
            <w:tcW w:w="6379" w:type="dxa"/>
          </w:tcPr>
          <w:p w:rsidR="00DC314D" w:rsidRPr="00A929CE" w:rsidRDefault="00DC314D" w:rsidP="00DC314D">
            <w:pPr>
              <w:autoSpaceDE w:val="0"/>
              <w:autoSpaceDN w:val="0"/>
              <w:adjustRightInd w:val="0"/>
              <w:spacing w:line="360" w:lineRule="auto"/>
              <w:jc w:val="both"/>
              <w:rPr>
                <w:rFonts w:asciiTheme="minorHAnsi" w:hAnsiTheme="minorHAnsi" w:cs="Tahoma"/>
                <w:sz w:val="24"/>
                <w:szCs w:val="24"/>
              </w:rPr>
            </w:pPr>
            <w:r w:rsidRPr="00A929CE">
              <w:rPr>
                <w:rFonts w:asciiTheme="minorHAnsi" w:hAnsiTheme="minorHAnsi" w:cs="Tahoma"/>
                <w:bCs/>
                <w:sz w:val="24"/>
                <w:szCs w:val="24"/>
              </w:rPr>
              <w:t>Très partiellement réalisée</w:t>
            </w:r>
          </w:p>
          <w:p w:rsidR="00DC314D" w:rsidRPr="00A929CE" w:rsidRDefault="00DC314D" w:rsidP="00DC314D">
            <w:pPr>
              <w:autoSpaceDE w:val="0"/>
              <w:autoSpaceDN w:val="0"/>
              <w:adjustRightInd w:val="0"/>
              <w:spacing w:line="360" w:lineRule="auto"/>
              <w:jc w:val="both"/>
              <w:rPr>
                <w:rFonts w:asciiTheme="minorHAnsi" w:hAnsiTheme="minorHAnsi" w:cs="Tahoma"/>
                <w:sz w:val="24"/>
                <w:szCs w:val="24"/>
              </w:rPr>
            </w:pPr>
          </w:p>
        </w:tc>
      </w:tr>
      <w:tr w:rsidR="00DC314D" w:rsidRPr="00A929CE" w:rsidTr="008C046F">
        <w:tc>
          <w:tcPr>
            <w:tcW w:w="9243" w:type="dxa"/>
            <w:gridSpan w:val="2"/>
            <w:shd w:val="clear" w:color="auto" w:fill="BFBFBF" w:themeFill="background1" w:themeFillShade="BF"/>
          </w:tcPr>
          <w:p w:rsidR="00DC314D" w:rsidRPr="00A929CE" w:rsidRDefault="00DC314D" w:rsidP="00DC314D">
            <w:pPr>
              <w:autoSpaceDE w:val="0"/>
              <w:autoSpaceDN w:val="0"/>
              <w:adjustRightInd w:val="0"/>
              <w:spacing w:line="360" w:lineRule="auto"/>
              <w:jc w:val="center"/>
              <w:rPr>
                <w:rFonts w:asciiTheme="minorHAnsi" w:hAnsiTheme="minorHAnsi" w:cs="Tahoma"/>
                <w:i/>
                <w:sz w:val="24"/>
                <w:szCs w:val="24"/>
              </w:rPr>
            </w:pPr>
            <w:r w:rsidRPr="00A929CE">
              <w:rPr>
                <w:rFonts w:asciiTheme="minorHAnsi" w:hAnsiTheme="minorHAnsi" w:cs="Tahoma"/>
                <w:b/>
                <w:bCs/>
                <w:i/>
                <w:sz w:val="24"/>
                <w:szCs w:val="24"/>
              </w:rPr>
              <w:t>Renforcement des capacités</w:t>
            </w:r>
          </w:p>
        </w:tc>
        <w:tc>
          <w:tcPr>
            <w:tcW w:w="6379" w:type="dxa"/>
            <w:shd w:val="clear" w:color="auto" w:fill="BFBFBF" w:themeFill="background1" w:themeFillShade="BF"/>
          </w:tcPr>
          <w:p w:rsidR="00DC314D" w:rsidRPr="00A929CE" w:rsidRDefault="00DC314D" w:rsidP="00DC314D">
            <w:pPr>
              <w:autoSpaceDE w:val="0"/>
              <w:autoSpaceDN w:val="0"/>
              <w:adjustRightInd w:val="0"/>
              <w:spacing w:line="360" w:lineRule="auto"/>
              <w:jc w:val="center"/>
              <w:rPr>
                <w:rFonts w:asciiTheme="minorHAnsi" w:hAnsiTheme="minorHAnsi" w:cs="Tahoma"/>
                <w:b/>
                <w:bCs/>
                <w:i/>
                <w:sz w:val="24"/>
                <w:szCs w:val="24"/>
              </w:rPr>
            </w:pPr>
          </w:p>
        </w:tc>
      </w:tr>
      <w:tr w:rsidR="00213E73" w:rsidRPr="00A929CE" w:rsidTr="008C046F">
        <w:tc>
          <w:tcPr>
            <w:tcW w:w="2439" w:type="dxa"/>
            <w:shd w:val="clear" w:color="auto" w:fill="BFBFBF" w:themeFill="background1" w:themeFillShade="BF"/>
          </w:tcPr>
          <w:p w:rsidR="00213E73" w:rsidRPr="00A929CE" w:rsidRDefault="00213E73" w:rsidP="00213E73">
            <w:pPr>
              <w:spacing w:line="360" w:lineRule="auto"/>
              <w:jc w:val="both"/>
              <w:rPr>
                <w:rFonts w:asciiTheme="minorHAnsi" w:hAnsiTheme="minorHAnsi" w:cs="Tahoma"/>
                <w:b/>
                <w:bCs/>
                <w:sz w:val="24"/>
                <w:szCs w:val="24"/>
              </w:rPr>
            </w:pPr>
            <w:r w:rsidRPr="00A929CE">
              <w:rPr>
                <w:rFonts w:asciiTheme="minorHAnsi" w:hAnsiTheme="minorHAnsi" w:cs="Tahoma"/>
                <w:b/>
                <w:bCs/>
                <w:sz w:val="24"/>
                <w:szCs w:val="24"/>
              </w:rPr>
              <w:t>R 28 : Renforcement des capacités</w:t>
            </w:r>
          </w:p>
        </w:tc>
        <w:tc>
          <w:tcPr>
            <w:tcW w:w="6804" w:type="dxa"/>
          </w:tcPr>
          <w:p w:rsidR="00213E73" w:rsidRPr="00A929CE" w:rsidRDefault="00213E73" w:rsidP="00213E73">
            <w:pPr>
              <w:autoSpaceDE w:val="0"/>
              <w:autoSpaceDN w:val="0"/>
              <w:adjustRightInd w:val="0"/>
              <w:spacing w:line="360" w:lineRule="auto"/>
              <w:jc w:val="both"/>
              <w:rPr>
                <w:rFonts w:asciiTheme="minorHAnsi" w:hAnsiTheme="minorHAnsi" w:cs="Tahoma"/>
                <w:sz w:val="24"/>
                <w:szCs w:val="24"/>
              </w:rPr>
            </w:pPr>
            <w:r w:rsidRPr="00A929CE">
              <w:rPr>
                <w:rFonts w:asciiTheme="minorHAnsi" w:hAnsiTheme="minorHAnsi" w:cs="Tahoma"/>
                <w:sz w:val="24"/>
                <w:szCs w:val="24"/>
              </w:rPr>
              <w:t>Jusqu’en 2015, au moins 3% des budgets consacrés au secteur de l’assainissement sont affectés au renforcement des capacités</w:t>
            </w:r>
          </w:p>
        </w:tc>
        <w:tc>
          <w:tcPr>
            <w:tcW w:w="6379" w:type="dxa"/>
          </w:tcPr>
          <w:p w:rsidR="00213E73" w:rsidRDefault="00213E73" w:rsidP="00213E73">
            <w:pPr>
              <w:autoSpaceDE w:val="0"/>
              <w:autoSpaceDN w:val="0"/>
              <w:adjustRightInd w:val="0"/>
              <w:spacing w:line="360" w:lineRule="auto"/>
              <w:jc w:val="both"/>
              <w:rPr>
                <w:rFonts w:asciiTheme="minorHAnsi" w:hAnsiTheme="minorHAnsi" w:cstheme="minorHAnsi"/>
                <w:sz w:val="24"/>
                <w:szCs w:val="24"/>
              </w:rPr>
            </w:pPr>
            <w:r w:rsidRPr="00DC314D">
              <w:rPr>
                <w:rFonts w:asciiTheme="minorHAnsi" w:hAnsiTheme="minorHAnsi" w:cstheme="minorHAnsi"/>
                <w:sz w:val="24"/>
                <w:szCs w:val="24"/>
              </w:rPr>
              <w:t>Situation exacte non retrouvée</w:t>
            </w:r>
            <w:r>
              <w:rPr>
                <w:rFonts w:asciiTheme="minorHAnsi" w:hAnsiTheme="minorHAnsi" w:cstheme="minorHAnsi"/>
                <w:sz w:val="24"/>
                <w:szCs w:val="24"/>
              </w:rPr>
              <w:t>.</w:t>
            </w:r>
          </w:p>
          <w:p w:rsidR="00213E73" w:rsidRPr="00A929CE" w:rsidRDefault="00213E73" w:rsidP="00213E73">
            <w:pPr>
              <w:autoSpaceDE w:val="0"/>
              <w:autoSpaceDN w:val="0"/>
              <w:adjustRightInd w:val="0"/>
              <w:spacing w:line="360" w:lineRule="auto"/>
              <w:jc w:val="both"/>
              <w:rPr>
                <w:rFonts w:asciiTheme="minorHAnsi" w:hAnsiTheme="minorHAnsi" w:cs="Tahoma"/>
                <w:b/>
                <w:sz w:val="24"/>
                <w:szCs w:val="24"/>
              </w:rPr>
            </w:pPr>
          </w:p>
        </w:tc>
      </w:tr>
      <w:tr w:rsidR="00213E73" w:rsidRPr="00A929CE" w:rsidTr="008C046F">
        <w:tc>
          <w:tcPr>
            <w:tcW w:w="9243" w:type="dxa"/>
            <w:gridSpan w:val="2"/>
            <w:shd w:val="clear" w:color="auto" w:fill="BFBFBF" w:themeFill="background1" w:themeFillShade="BF"/>
          </w:tcPr>
          <w:p w:rsidR="00213E73" w:rsidRPr="00A929CE" w:rsidRDefault="00213E73" w:rsidP="00213E73">
            <w:pPr>
              <w:spacing w:line="360" w:lineRule="auto"/>
              <w:jc w:val="center"/>
              <w:rPr>
                <w:rFonts w:asciiTheme="minorHAnsi" w:hAnsiTheme="minorHAnsi" w:cs="Tahoma"/>
                <w:b/>
                <w:bCs/>
                <w:i/>
                <w:sz w:val="24"/>
                <w:szCs w:val="24"/>
                <w:lang w:eastAsia="en-GB"/>
              </w:rPr>
            </w:pPr>
            <w:r w:rsidRPr="00A929CE">
              <w:rPr>
                <w:rFonts w:asciiTheme="minorHAnsi" w:hAnsiTheme="minorHAnsi" w:cs="Tahoma"/>
                <w:b/>
                <w:bCs/>
                <w:i/>
                <w:sz w:val="24"/>
                <w:szCs w:val="24"/>
              </w:rPr>
              <w:t>Durabilité du service public de l’assainissement</w:t>
            </w:r>
          </w:p>
        </w:tc>
        <w:tc>
          <w:tcPr>
            <w:tcW w:w="6379" w:type="dxa"/>
            <w:shd w:val="clear" w:color="auto" w:fill="BFBFBF" w:themeFill="background1" w:themeFillShade="BF"/>
          </w:tcPr>
          <w:p w:rsidR="00213E73" w:rsidRPr="00A929CE" w:rsidRDefault="00213E73" w:rsidP="00213E73">
            <w:pPr>
              <w:spacing w:line="360" w:lineRule="auto"/>
              <w:jc w:val="center"/>
              <w:rPr>
                <w:rFonts w:asciiTheme="minorHAnsi" w:hAnsiTheme="minorHAnsi" w:cs="Tahoma"/>
                <w:b/>
                <w:bCs/>
                <w:i/>
                <w:sz w:val="24"/>
                <w:szCs w:val="24"/>
              </w:rPr>
            </w:pPr>
          </w:p>
        </w:tc>
      </w:tr>
      <w:tr w:rsidR="00213E73" w:rsidRPr="00A929CE" w:rsidTr="008C046F">
        <w:tc>
          <w:tcPr>
            <w:tcW w:w="2439" w:type="dxa"/>
            <w:shd w:val="clear" w:color="auto" w:fill="BFBFBF" w:themeFill="background1" w:themeFillShade="BF"/>
          </w:tcPr>
          <w:p w:rsidR="00213E73" w:rsidRPr="00A929CE" w:rsidRDefault="00213E73" w:rsidP="00213E73">
            <w:pPr>
              <w:spacing w:line="360" w:lineRule="auto"/>
              <w:jc w:val="both"/>
              <w:rPr>
                <w:rFonts w:asciiTheme="minorHAnsi" w:hAnsiTheme="minorHAnsi" w:cs="Tahoma"/>
                <w:b/>
                <w:bCs/>
                <w:sz w:val="24"/>
                <w:szCs w:val="24"/>
                <w:lang w:eastAsia="en-GB"/>
              </w:rPr>
            </w:pPr>
            <w:r w:rsidRPr="00A929CE">
              <w:rPr>
                <w:rFonts w:asciiTheme="minorHAnsi" w:hAnsiTheme="minorHAnsi" w:cs="Tahoma"/>
                <w:b/>
                <w:bCs/>
                <w:sz w:val="24"/>
                <w:szCs w:val="24"/>
              </w:rPr>
              <w:t>R 29 : Equilibre financier de l’assainissement</w:t>
            </w:r>
          </w:p>
        </w:tc>
        <w:tc>
          <w:tcPr>
            <w:tcW w:w="6804" w:type="dxa"/>
          </w:tcPr>
          <w:p w:rsidR="00213E73" w:rsidRPr="00A929CE" w:rsidRDefault="00213E73" w:rsidP="00213E73">
            <w:pPr>
              <w:autoSpaceDE w:val="0"/>
              <w:autoSpaceDN w:val="0"/>
              <w:adjustRightInd w:val="0"/>
              <w:spacing w:line="360" w:lineRule="auto"/>
              <w:jc w:val="both"/>
              <w:rPr>
                <w:rFonts w:asciiTheme="minorHAnsi" w:hAnsiTheme="minorHAnsi" w:cs="Tahoma"/>
                <w:sz w:val="24"/>
                <w:szCs w:val="24"/>
              </w:rPr>
            </w:pPr>
            <w:r w:rsidRPr="00A929CE">
              <w:rPr>
                <w:rFonts w:asciiTheme="minorHAnsi" w:hAnsiTheme="minorHAnsi" w:cs="Tahoma"/>
                <w:sz w:val="24"/>
                <w:szCs w:val="24"/>
              </w:rPr>
              <w:t xml:space="preserve"> (a) les ménages ont durablement accès à une offre de service correspondant à leurs revenus mobilisables ; (b) l’ensemble de la filière (collecte, évacuation, entreposage et traitement) est correctement intégré ; (c)l’exploitation des services publics marchands liés à l’assainissement (collecte des ordures, évacuation des boues de vidange, gestion des CET) impliquant le secteur privé, est équilibrée sur le plan financier et (d) les usagers prennent en charge l’intégralité des coûts récurrents de fonctionnement du service public de l’assainissement</w:t>
            </w:r>
          </w:p>
        </w:tc>
        <w:tc>
          <w:tcPr>
            <w:tcW w:w="6379" w:type="dxa"/>
          </w:tcPr>
          <w:p w:rsidR="00213E73" w:rsidRPr="00A929CE" w:rsidRDefault="00213E73" w:rsidP="00213E73">
            <w:pPr>
              <w:autoSpaceDE w:val="0"/>
              <w:autoSpaceDN w:val="0"/>
              <w:adjustRightInd w:val="0"/>
              <w:spacing w:line="360" w:lineRule="auto"/>
              <w:jc w:val="both"/>
              <w:rPr>
                <w:rFonts w:asciiTheme="minorHAnsi" w:hAnsiTheme="minorHAnsi" w:cs="Tahoma"/>
                <w:sz w:val="24"/>
                <w:szCs w:val="24"/>
              </w:rPr>
            </w:pPr>
            <w:r w:rsidRPr="00A929CE">
              <w:rPr>
                <w:rFonts w:asciiTheme="minorHAnsi" w:hAnsiTheme="minorHAnsi" w:cs="Tahoma"/>
                <w:bCs/>
                <w:sz w:val="24"/>
                <w:szCs w:val="24"/>
              </w:rPr>
              <w:t>Point a : les ménages n’ont pas durablement accès au service en fonction de leurs revenus (coût incompressifs des ouvrages, etc.)</w:t>
            </w:r>
          </w:p>
          <w:p w:rsidR="00213E73" w:rsidRPr="00A929CE" w:rsidRDefault="00213E73" w:rsidP="00213E73">
            <w:pPr>
              <w:autoSpaceDE w:val="0"/>
              <w:autoSpaceDN w:val="0"/>
              <w:adjustRightInd w:val="0"/>
              <w:spacing w:line="360" w:lineRule="auto"/>
              <w:jc w:val="both"/>
              <w:rPr>
                <w:rFonts w:asciiTheme="minorHAnsi" w:hAnsiTheme="minorHAnsi" w:cs="Tahoma"/>
                <w:sz w:val="24"/>
                <w:szCs w:val="24"/>
              </w:rPr>
            </w:pPr>
            <w:r w:rsidRPr="00A929CE">
              <w:rPr>
                <w:rFonts w:asciiTheme="minorHAnsi" w:hAnsiTheme="minorHAnsi" w:cs="Tahoma"/>
                <w:bCs/>
                <w:sz w:val="24"/>
                <w:szCs w:val="24"/>
              </w:rPr>
              <w:t>Point b : pas intégré (actions éparses et isolées)</w:t>
            </w:r>
          </w:p>
          <w:p w:rsidR="00213E73" w:rsidRPr="00A929CE" w:rsidRDefault="00213E73" w:rsidP="00213E73">
            <w:pPr>
              <w:autoSpaceDE w:val="0"/>
              <w:autoSpaceDN w:val="0"/>
              <w:adjustRightInd w:val="0"/>
              <w:spacing w:line="360" w:lineRule="auto"/>
              <w:jc w:val="both"/>
              <w:rPr>
                <w:rFonts w:asciiTheme="minorHAnsi" w:hAnsiTheme="minorHAnsi" w:cs="Tahoma"/>
                <w:sz w:val="24"/>
                <w:szCs w:val="24"/>
              </w:rPr>
            </w:pPr>
            <w:r w:rsidRPr="00A929CE">
              <w:rPr>
                <w:rFonts w:asciiTheme="minorHAnsi" w:hAnsiTheme="minorHAnsi" w:cs="Tahoma"/>
                <w:bCs/>
                <w:sz w:val="24"/>
                <w:szCs w:val="24"/>
              </w:rPr>
              <w:t>Point c : données financiers difficilement disponibles</w:t>
            </w:r>
          </w:p>
          <w:p w:rsidR="00213E73" w:rsidRPr="00A929CE" w:rsidRDefault="00213E73" w:rsidP="00213E73">
            <w:pPr>
              <w:autoSpaceDE w:val="0"/>
              <w:autoSpaceDN w:val="0"/>
              <w:adjustRightInd w:val="0"/>
              <w:spacing w:line="360" w:lineRule="auto"/>
              <w:jc w:val="both"/>
              <w:rPr>
                <w:rFonts w:asciiTheme="minorHAnsi" w:hAnsiTheme="minorHAnsi" w:cs="Tahoma"/>
                <w:sz w:val="24"/>
                <w:szCs w:val="24"/>
              </w:rPr>
            </w:pPr>
            <w:r w:rsidRPr="00A929CE">
              <w:rPr>
                <w:rFonts w:asciiTheme="minorHAnsi" w:hAnsiTheme="minorHAnsi" w:cs="Tahoma"/>
                <w:bCs/>
                <w:sz w:val="24"/>
                <w:szCs w:val="24"/>
              </w:rPr>
              <w:t>Point d : mise en place difficile, culture de responsabilité, etc.)</w:t>
            </w:r>
          </w:p>
          <w:p w:rsidR="00D54C69" w:rsidRPr="00A929CE" w:rsidRDefault="00D54C69" w:rsidP="00D54C69">
            <w:pPr>
              <w:autoSpaceDE w:val="0"/>
              <w:autoSpaceDN w:val="0"/>
              <w:adjustRightInd w:val="0"/>
              <w:spacing w:line="360" w:lineRule="auto"/>
              <w:jc w:val="both"/>
              <w:rPr>
                <w:rFonts w:asciiTheme="minorHAnsi" w:hAnsiTheme="minorHAnsi" w:cs="Tahoma"/>
                <w:sz w:val="24"/>
                <w:szCs w:val="24"/>
              </w:rPr>
            </w:pPr>
            <w:r w:rsidRPr="00A929CE">
              <w:rPr>
                <w:rFonts w:asciiTheme="minorHAnsi" w:hAnsiTheme="minorHAnsi" w:cs="Tahoma"/>
                <w:bCs/>
                <w:sz w:val="24"/>
                <w:szCs w:val="24"/>
              </w:rPr>
              <w:t>Très partiellement réalisée</w:t>
            </w:r>
          </w:p>
          <w:p w:rsidR="00213E73" w:rsidRPr="00A929CE" w:rsidRDefault="00213E73" w:rsidP="00213E73">
            <w:pPr>
              <w:autoSpaceDE w:val="0"/>
              <w:autoSpaceDN w:val="0"/>
              <w:adjustRightInd w:val="0"/>
              <w:spacing w:line="360" w:lineRule="auto"/>
              <w:jc w:val="both"/>
              <w:rPr>
                <w:rFonts w:asciiTheme="minorHAnsi" w:hAnsiTheme="minorHAnsi" w:cs="Tahoma"/>
                <w:b/>
                <w:sz w:val="24"/>
                <w:szCs w:val="24"/>
              </w:rPr>
            </w:pPr>
          </w:p>
        </w:tc>
      </w:tr>
      <w:tr w:rsidR="00213E73" w:rsidRPr="00A929CE" w:rsidTr="008C046F">
        <w:tc>
          <w:tcPr>
            <w:tcW w:w="2439" w:type="dxa"/>
            <w:shd w:val="clear" w:color="auto" w:fill="BFBFBF" w:themeFill="background1" w:themeFillShade="BF"/>
          </w:tcPr>
          <w:p w:rsidR="00213E73" w:rsidRPr="00A929CE" w:rsidRDefault="00213E73" w:rsidP="00213E73">
            <w:pPr>
              <w:spacing w:line="360" w:lineRule="auto"/>
              <w:jc w:val="both"/>
              <w:rPr>
                <w:rFonts w:asciiTheme="minorHAnsi" w:hAnsiTheme="minorHAnsi" w:cs="Tahoma"/>
                <w:b/>
                <w:bCs/>
                <w:sz w:val="24"/>
                <w:szCs w:val="24"/>
                <w:lang w:eastAsia="en-GB"/>
              </w:rPr>
            </w:pPr>
            <w:r w:rsidRPr="00A929CE">
              <w:rPr>
                <w:rFonts w:asciiTheme="minorHAnsi" w:hAnsiTheme="minorHAnsi" w:cs="Tahoma"/>
                <w:b/>
                <w:bCs/>
                <w:sz w:val="24"/>
                <w:szCs w:val="24"/>
              </w:rPr>
              <w:t>R 30 : Partenariat public-privé</w:t>
            </w:r>
          </w:p>
        </w:tc>
        <w:tc>
          <w:tcPr>
            <w:tcW w:w="6804" w:type="dxa"/>
          </w:tcPr>
          <w:p w:rsidR="00213E73" w:rsidRPr="00A929CE" w:rsidRDefault="00213E73" w:rsidP="00213E73">
            <w:pPr>
              <w:autoSpaceDE w:val="0"/>
              <w:autoSpaceDN w:val="0"/>
              <w:adjustRightInd w:val="0"/>
              <w:spacing w:line="360" w:lineRule="auto"/>
              <w:jc w:val="both"/>
              <w:rPr>
                <w:rFonts w:asciiTheme="minorHAnsi" w:hAnsiTheme="minorHAnsi" w:cs="Tahoma"/>
                <w:sz w:val="24"/>
                <w:szCs w:val="24"/>
              </w:rPr>
            </w:pPr>
            <w:r w:rsidRPr="00A929CE">
              <w:rPr>
                <w:rFonts w:asciiTheme="minorHAnsi" w:hAnsiTheme="minorHAnsi" w:cs="Tahoma"/>
                <w:sz w:val="24"/>
                <w:szCs w:val="24"/>
              </w:rPr>
              <w:t>Les opérateurs privés sont informés des procédures de mise en concurrence. D’ici à 2015, au moins 20 contrats de délégation de service public sont signés dans les villes de plus de 50.000 habitants, et 100 dans les villes de 5.000 à 50.000 habitants</w:t>
            </w:r>
          </w:p>
        </w:tc>
        <w:tc>
          <w:tcPr>
            <w:tcW w:w="6379" w:type="dxa"/>
          </w:tcPr>
          <w:p w:rsidR="00E1508D" w:rsidRPr="006E0389" w:rsidRDefault="00E1508D" w:rsidP="00F65F79">
            <w:pPr>
              <w:autoSpaceDE w:val="0"/>
              <w:autoSpaceDN w:val="0"/>
              <w:adjustRightInd w:val="0"/>
              <w:spacing w:line="360" w:lineRule="auto"/>
              <w:jc w:val="both"/>
              <w:rPr>
                <w:rFonts w:asciiTheme="minorHAnsi" w:hAnsiTheme="minorHAnsi" w:cs="Tahoma"/>
                <w:bCs/>
                <w:sz w:val="24"/>
                <w:szCs w:val="24"/>
              </w:rPr>
            </w:pPr>
            <w:r w:rsidRPr="00E1508D">
              <w:rPr>
                <w:rFonts w:ascii="Open Sans" w:hAnsi="Open Sans" w:cs="Open Sans"/>
                <w:color w:val="555555"/>
                <w:sz w:val="21"/>
                <w:szCs w:val="21"/>
                <w:shd w:val="clear" w:color="auto" w:fill="FFFFFF"/>
              </w:rPr>
              <w:t>Le gouvernement du Mali a adopté la Loi n°2016-061 du 30 décembre 2016 relative aux partenariats public-privé au Mali.</w:t>
            </w:r>
          </w:p>
          <w:p w:rsidR="00F65F79" w:rsidRPr="006E0389" w:rsidRDefault="00D02B66" w:rsidP="00F65F79">
            <w:pPr>
              <w:autoSpaceDE w:val="0"/>
              <w:autoSpaceDN w:val="0"/>
              <w:adjustRightInd w:val="0"/>
              <w:spacing w:line="360" w:lineRule="auto"/>
              <w:jc w:val="both"/>
              <w:rPr>
                <w:rFonts w:asciiTheme="minorHAnsi" w:hAnsiTheme="minorHAnsi" w:cs="Tahoma"/>
                <w:sz w:val="24"/>
                <w:szCs w:val="24"/>
              </w:rPr>
            </w:pPr>
            <w:r w:rsidRPr="006E0389">
              <w:rPr>
                <w:rFonts w:asciiTheme="minorHAnsi" w:hAnsiTheme="minorHAnsi" w:cs="Tahoma"/>
                <w:bCs/>
                <w:sz w:val="24"/>
                <w:szCs w:val="24"/>
              </w:rPr>
              <w:t>Dans le sous-secteur de l’assainissement</w:t>
            </w:r>
            <w:r w:rsidR="00E1508D" w:rsidRPr="006E0389">
              <w:rPr>
                <w:rFonts w:asciiTheme="minorHAnsi" w:hAnsiTheme="minorHAnsi" w:cs="Tahoma"/>
                <w:bCs/>
                <w:sz w:val="24"/>
                <w:szCs w:val="24"/>
              </w:rPr>
              <w:t xml:space="preserve">, l’approche PPP est effective. </w:t>
            </w:r>
          </w:p>
          <w:p w:rsidR="00213E73" w:rsidRPr="00913F84" w:rsidRDefault="00213E73" w:rsidP="00213E73">
            <w:pPr>
              <w:autoSpaceDE w:val="0"/>
              <w:autoSpaceDN w:val="0"/>
              <w:adjustRightInd w:val="0"/>
              <w:spacing w:line="360" w:lineRule="auto"/>
              <w:jc w:val="both"/>
              <w:rPr>
                <w:rFonts w:asciiTheme="minorHAnsi" w:hAnsiTheme="minorHAnsi" w:cs="Tahoma"/>
                <w:b/>
                <w:sz w:val="24"/>
                <w:szCs w:val="24"/>
                <w:highlight w:val="yellow"/>
              </w:rPr>
            </w:pPr>
          </w:p>
        </w:tc>
      </w:tr>
      <w:tr w:rsidR="00213E73" w:rsidRPr="00A929CE" w:rsidTr="008C046F">
        <w:tc>
          <w:tcPr>
            <w:tcW w:w="9243" w:type="dxa"/>
            <w:gridSpan w:val="2"/>
            <w:shd w:val="clear" w:color="auto" w:fill="BFBFBF" w:themeFill="background1" w:themeFillShade="BF"/>
          </w:tcPr>
          <w:p w:rsidR="00213E73" w:rsidRPr="00A929CE" w:rsidRDefault="00213E73" w:rsidP="00213E73">
            <w:pPr>
              <w:spacing w:line="360" w:lineRule="auto"/>
              <w:jc w:val="center"/>
              <w:rPr>
                <w:rFonts w:asciiTheme="minorHAnsi" w:hAnsiTheme="minorHAnsi" w:cs="Tahoma"/>
                <w:b/>
                <w:bCs/>
                <w:i/>
                <w:sz w:val="24"/>
                <w:szCs w:val="24"/>
                <w:lang w:eastAsia="en-GB"/>
              </w:rPr>
            </w:pPr>
            <w:r w:rsidRPr="00A929CE">
              <w:rPr>
                <w:rFonts w:asciiTheme="minorHAnsi" w:hAnsiTheme="minorHAnsi" w:cs="Tahoma"/>
                <w:b/>
                <w:bCs/>
                <w:i/>
                <w:sz w:val="24"/>
                <w:szCs w:val="24"/>
              </w:rPr>
              <w:t>Organisation du secteur</w:t>
            </w:r>
          </w:p>
        </w:tc>
        <w:tc>
          <w:tcPr>
            <w:tcW w:w="6379" w:type="dxa"/>
            <w:shd w:val="clear" w:color="auto" w:fill="BFBFBF" w:themeFill="background1" w:themeFillShade="BF"/>
          </w:tcPr>
          <w:p w:rsidR="00213E73" w:rsidRPr="00A929CE" w:rsidRDefault="00213E73" w:rsidP="00213E73">
            <w:pPr>
              <w:spacing w:line="360" w:lineRule="auto"/>
              <w:jc w:val="center"/>
              <w:rPr>
                <w:rFonts w:asciiTheme="minorHAnsi" w:hAnsiTheme="minorHAnsi" w:cs="Tahoma"/>
                <w:b/>
                <w:bCs/>
                <w:i/>
                <w:sz w:val="24"/>
                <w:szCs w:val="24"/>
              </w:rPr>
            </w:pPr>
          </w:p>
        </w:tc>
      </w:tr>
      <w:tr w:rsidR="00213E73" w:rsidRPr="00A929CE" w:rsidTr="008C046F">
        <w:tc>
          <w:tcPr>
            <w:tcW w:w="2439" w:type="dxa"/>
            <w:shd w:val="clear" w:color="auto" w:fill="BFBFBF" w:themeFill="background1" w:themeFillShade="BF"/>
          </w:tcPr>
          <w:p w:rsidR="00213E73" w:rsidRPr="00A929CE" w:rsidRDefault="00213E73" w:rsidP="00213E73">
            <w:pPr>
              <w:spacing w:line="360" w:lineRule="auto"/>
              <w:jc w:val="both"/>
              <w:rPr>
                <w:rFonts w:asciiTheme="minorHAnsi" w:hAnsiTheme="minorHAnsi" w:cs="Tahoma"/>
                <w:b/>
                <w:bCs/>
                <w:sz w:val="24"/>
                <w:szCs w:val="24"/>
                <w:lang w:eastAsia="en-GB"/>
              </w:rPr>
            </w:pPr>
            <w:r w:rsidRPr="00A929CE">
              <w:rPr>
                <w:rFonts w:asciiTheme="minorHAnsi" w:hAnsiTheme="minorHAnsi" w:cs="Tahoma"/>
                <w:b/>
                <w:bCs/>
                <w:sz w:val="24"/>
                <w:szCs w:val="24"/>
              </w:rPr>
              <w:t>R 31 : Déconcentration des services de l’Etat</w:t>
            </w:r>
          </w:p>
        </w:tc>
        <w:tc>
          <w:tcPr>
            <w:tcW w:w="6804" w:type="dxa"/>
          </w:tcPr>
          <w:p w:rsidR="00213E73" w:rsidRPr="00A929CE" w:rsidRDefault="00213E73" w:rsidP="00213E73">
            <w:pPr>
              <w:autoSpaceDE w:val="0"/>
              <w:autoSpaceDN w:val="0"/>
              <w:adjustRightInd w:val="0"/>
              <w:spacing w:line="360" w:lineRule="auto"/>
              <w:jc w:val="both"/>
              <w:rPr>
                <w:rFonts w:asciiTheme="minorHAnsi" w:hAnsiTheme="minorHAnsi" w:cs="Tahoma"/>
                <w:sz w:val="24"/>
                <w:szCs w:val="24"/>
              </w:rPr>
            </w:pPr>
            <w:r w:rsidRPr="00A929CE">
              <w:rPr>
                <w:rFonts w:asciiTheme="minorHAnsi" w:hAnsiTheme="minorHAnsi" w:cs="Tahoma"/>
                <w:sz w:val="24"/>
                <w:szCs w:val="24"/>
              </w:rPr>
              <w:t>Le profil des agents et les méthodes utilisées sont mis en adéquation avec les nouvelles missions d’appui-conseil aux collectivités locales, de collecte des informations nécessaires au fonctionnement du système de suivi-évaluation, de transmission de l’information liée à la mise en œuvre d’une approche programmatique et de contrôle de la qualité des services fournis</w:t>
            </w:r>
          </w:p>
        </w:tc>
        <w:tc>
          <w:tcPr>
            <w:tcW w:w="6379" w:type="dxa"/>
          </w:tcPr>
          <w:p w:rsidR="00213E73" w:rsidRPr="00213E73" w:rsidRDefault="00213E73" w:rsidP="00213E73">
            <w:pPr>
              <w:autoSpaceDE w:val="0"/>
              <w:autoSpaceDN w:val="0"/>
              <w:adjustRightInd w:val="0"/>
              <w:spacing w:line="360" w:lineRule="auto"/>
              <w:jc w:val="both"/>
              <w:rPr>
                <w:rFonts w:asciiTheme="minorHAnsi" w:hAnsiTheme="minorHAnsi" w:cs="Tahoma"/>
                <w:bCs/>
                <w:sz w:val="24"/>
                <w:szCs w:val="24"/>
              </w:rPr>
            </w:pPr>
            <w:r w:rsidRPr="00213E73">
              <w:rPr>
                <w:rFonts w:asciiTheme="minorHAnsi" w:hAnsiTheme="minorHAnsi" w:cs="Tahoma"/>
                <w:bCs/>
                <w:sz w:val="24"/>
                <w:szCs w:val="24"/>
              </w:rPr>
              <w:t>Le Plan de développement des ressources humaines prôné par la PNA n’a pas vu le jour</w:t>
            </w:r>
            <w:r>
              <w:rPr>
                <w:rFonts w:asciiTheme="minorHAnsi" w:hAnsiTheme="minorHAnsi" w:cs="Tahoma"/>
                <w:bCs/>
                <w:sz w:val="24"/>
                <w:szCs w:val="24"/>
              </w:rPr>
              <w:t>.</w:t>
            </w:r>
          </w:p>
          <w:p w:rsidR="00213E73" w:rsidRPr="00213E73" w:rsidRDefault="00213E73" w:rsidP="00213E73">
            <w:pPr>
              <w:autoSpaceDE w:val="0"/>
              <w:autoSpaceDN w:val="0"/>
              <w:adjustRightInd w:val="0"/>
              <w:spacing w:line="360" w:lineRule="auto"/>
              <w:jc w:val="both"/>
              <w:rPr>
                <w:rFonts w:asciiTheme="minorHAnsi" w:hAnsiTheme="minorHAnsi" w:cs="Tahoma"/>
                <w:bCs/>
                <w:sz w:val="24"/>
                <w:szCs w:val="24"/>
              </w:rPr>
            </w:pPr>
            <w:r>
              <w:rPr>
                <w:rFonts w:asciiTheme="minorHAnsi" w:hAnsiTheme="minorHAnsi" w:cs="Tahoma"/>
                <w:bCs/>
                <w:sz w:val="24"/>
                <w:szCs w:val="24"/>
              </w:rPr>
              <w:t>La cible n’est pas atteinte.</w:t>
            </w:r>
          </w:p>
        </w:tc>
      </w:tr>
      <w:tr w:rsidR="00213E73" w:rsidRPr="00A929CE" w:rsidTr="008C046F">
        <w:tc>
          <w:tcPr>
            <w:tcW w:w="2439" w:type="dxa"/>
            <w:shd w:val="clear" w:color="auto" w:fill="BFBFBF" w:themeFill="background1" w:themeFillShade="BF"/>
          </w:tcPr>
          <w:p w:rsidR="00213E73" w:rsidRPr="00A929CE" w:rsidRDefault="00213E73" w:rsidP="00213E73">
            <w:pPr>
              <w:spacing w:line="360" w:lineRule="auto"/>
              <w:jc w:val="both"/>
              <w:rPr>
                <w:rFonts w:asciiTheme="minorHAnsi" w:hAnsiTheme="minorHAnsi" w:cs="Tahoma"/>
                <w:b/>
                <w:bCs/>
                <w:sz w:val="24"/>
                <w:szCs w:val="24"/>
                <w:lang w:eastAsia="en-GB"/>
              </w:rPr>
            </w:pPr>
            <w:r w:rsidRPr="00A929CE">
              <w:rPr>
                <w:rFonts w:asciiTheme="minorHAnsi" w:hAnsiTheme="minorHAnsi" w:cs="Tahoma"/>
                <w:b/>
                <w:bCs/>
                <w:sz w:val="24"/>
                <w:szCs w:val="24"/>
              </w:rPr>
              <w:t>R 32 : Coordination sectorielle</w:t>
            </w:r>
          </w:p>
        </w:tc>
        <w:tc>
          <w:tcPr>
            <w:tcW w:w="6804" w:type="dxa"/>
          </w:tcPr>
          <w:p w:rsidR="00213E73" w:rsidRPr="00A929CE" w:rsidRDefault="00213E73" w:rsidP="00213E73">
            <w:pPr>
              <w:autoSpaceDE w:val="0"/>
              <w:autoSpaceDN w:val="0"/>
              <w:adjustRightInd w:val="0"/>
              <w:spacing w:line="360" w:lineRule="auto"/>
              <w:jc w:val="both"/>
              <w:rPr>
                <w:rFonts w:asciiTheme="minorHAnsi" w:hAnsiTheme="minorHAnsi" w:cs="Tahoma"/>
                <w:sz w:val="24"/>
                <w:szCs w:val="24"/>
              </w:rPr>
            </w:pPr>
            <w:r w:rsidRPr="00A929CE">
              <w:rPr>
                <w:rFonts w:asciiTheme="minorHAnsi" w:hAnsiTheme="minorHAnsi" w:cs="Tahoma"/>
                <w:sz w:val="24"/>
                <w:szCs w:val="24"/>
              </w:rPr>
              <w:t>Les principaux ministères concernés par l’assainissement se coordonnent au travers d’une structure opérationnelle qui a pour objectifs l’échange d’information, l’harmonisation des approches, la programmation intersectorielle, la gestion du système de suivi-évaluation et le suivi de la mise en œuvre de la PNA</w:t>
            </w:r>
          </w:p>
        </w:tc>
        <w:tc>
          <w:tcPr>
            <w:tcW w:w="6379" w:type="dxa"/>
          </w:tcPr>
          <w:p w:rsidR="00213E73" w:rsidRPr="00A929CE" w:rsidRDefault="00213E73" w:rsidP="00213E73">
            <w:pPr>
              <w:autoSpaceDE w:val="0"/>
              <w:autoSpaceDN w:val="0"/>
              <w:adjustRightInd w:val="0"/>
              <w:spacing w:line="360" w:lineRule="auto"/>
              <w:jc w:val="both"/>
              <w:rPr>
                <w:rFonts w:asciiTheme="minorHAnsi" w:hAnsiTheme="minorHAnsi" w:cs="Tahoma"/>
                <w:sz w:val="24"/>
                <w:szCs w:val="24"/>
              </w:rPr>
            </w:pPr>
            <w:r w:rsidRPr="00A929CE">
              <w:rPr>
                <w:rFonts w:asciiTheme="minorHAnsi" w:hAnsiTheme="minorHAnsi" w:cs="Tahoma"/>
                <w:bCs/>
                <w:sz w:val="24"/>
                <w:szCs w:val="24"/>
              </w:rPr>
              <w:t xml:space="preserve">Non existence d’une structure formelle de coordination du sous-secteur Assainissement. </w:t>
            </w:r>
          </w:p>
          <w:p w:rsidR="00213E73" w:rsidRPr="00A929CE" w:rsidRDefault="00213E73" w:rsidP="00213E73">
            <w:pPr>
              <w:autoSpaceDE w:val="0"/>
              <w:autoSpaceDN w:val="0"/>
              <w:adjustRightInd w:val="0"/>
              <w:spacing w:line="360" w:lineRule="auto"/>
              <w:jc w:val="both"/>
              <w:rPr>
                <w:rFonts w:asciiTheme="minorHAnsi" w:hAnsiTheme="minorHAnsi" w:cs="Tahoma"/>
                <w:color w:val="FF0000"/>
                <w:sz w:val="24"/>
                <w:szCs w:val="24"/>
              </w:rPr>
            </w:pPr>
          </w:p>
        </w:tc>
      </w:tr>
      <w:tr w:rsidR="00213E73" w:rsidRPr="00A929CE" w:rsidTr="008C046F">
        <w:tc>
          <w:tcPr>
            <w:tcW w:w="2439" w:type="dxa"/>
            <w:shd w:val="clear" w:color="auto" w:fill="BFBFBF" w:themeFill="background1" w:themeFillShade="BF"/>
          </w:tcPr>
          <w:p w:rsidR="00213E73" w:rsidRPr="00A929CE" w:rsidRDefault="00213E73" w:rsidP="00213E73">
            <w:pPr>
              <w:spacing w:line="360" w:lineRule="auto"/>
              <w:rPr>
                <w:rFonts w:asciiTheme="minorHAnsi" w:hAnsiTheme="minorHAnsi" w:cs="Tahoma"/>
                <w:b/>
                <w:bCs/>
                <w:sz w:val="24"/>
                <w:szCs w:val="24"/>
                <w:lang w:eastAsia="en-GB"/>
              </w:rPr>
            </w:pPr>
            <w:r w:rsidRPr="00A929CE">
              <w:rPr>
                <w:rFonts w:asciiTheme="minorHAnsi" w:hAnsiTheme="minorHAnsi" w:cs="Tahoma"/>
                <w:b/>
                <w:bCs/>
                <w:sz w:val="24"/>
                <w:szCs w:val="24"/>
              </w:rPr>
              <w:t>R 33 : Suivi-évaluation</w:t>
            </w:r>
          </w:p>
        </w:tc>
        <w:tc>
          <w:tcPr>
            <w:tcW w:w="6804" w:type="dxa"/>
          </w:tcPr>
          <w:p w:rsidR="00213E73" w:rsidRPr="00A929CE" w:rsidRDefault="00213E73" w:rsidP="00213E73">
            <w:pPr>
              <w:autoSpaceDE w:val="0"/>
              <w:autoSpaceDN w:val="0"/>
              <w:adjustRightInd w:val="0"/>
              <w:spacing w:line="360" w:lineRule="auto"/>
              <w:jc w:val="both"/>
              <w:rPr>
                <w:rFonts w:asciiTheme="minorHAnsi" w:hAnsiTheme="minorHAnsi" w:cs="Tahoma"/>
                <w:sz w:val="24"/>
                <w:szCs w:val="24"/>
              </w:rPr>
            </w:pPr>
            <w:r w:rsidRPr="00A929CE">
              <w:rPr>
                <w:rFonts w:asciiTheme="minorHAnsi" w:hAnsiTheme="minorHAnsi" w:cs="Tahoma"/>
                <w:sz w:val="24"/>
                <w:szCs w:val="24"/>
              </w:rPr>
              <w:t>Un dispositif de suivi est mis en place et est opérationnel avant 2011. Il repose sur des Enquêtes Nationales Assainissement et Pollution (ENAP) ainsi que sur les données collectées et régulièrement mises à jour au niveau des structures de la DNACPN</w:t>
            </w:r>
          </w:p>
        </w:tc>
        <w:tc>
          <w:tcPr>
            <w:tcW w:w="6379" w:type="dxa"/>
          </w:tcPr>
          <w:p w:rsidR="00213E73" w:rsidRPr="00A929CE" w:rsidRDefault="00213E73" w:rsidP="00213E73">
            <w:pPr>
              <w:autoSpaceDE w:val="0"/>
              <w:autoSpaceDN w:val="0"/>
              <w:adjustRightInd w:val="0"/>
              <w:spacing w:line="360" w:lineRule="auto"/>
              <w:jc w:val="both"/>
              <w:rPr>
                <w:rFonts w:asciiTheme="minorHAnsi" w:hAnsiTheme="minorHAnsi" w:cs="Tahoma"/>
                <w:sz w:val="24"/>
                <w:szCs w:val="24"/>
              </w:rPr>
            </w:pPr>
            <w:r w:rsidRPr="00A929CE">
              <w:rPr>
                <w:rFonts w:asciiTheme="minorHAnsi" w:hAnsiTheme="minorHAnsi" w:cs="Tahoma"/>
                <w:bCs/>
                <w:sz w:val="24"/>
                <w:szCs w:val="24"/>
              </w:rPr>
              <w:t>Les comités de suivi-évaluation clairement identifiés et détaillés dans le document PNA n’ont pas été mis en place</w:t>
            </w:r>
          </w:p>
          <w:p w:rsidR="00213E73" w:rsidRPr="00A929CE" w:rsidRDefault="00213E73" w:rsidP="00213E73">
            <w:pPr>
              <w:autoSpaceDE w:val="0"/>
              <w:autoSpaceDN w:val="0"/>
              <w:adjustRightInd w:val="0"/>
              <w:spacing w:line="360" w:lineRule="auto"/>
              <w:jc w:val="both"/>
              <w:rPr>
                <w:rFonts w:asciiTheme="minorHAnsi" w:hAnsiTheme="minorHAnsi" w:cs="Tahoma"/>
                <w:sz w:val="24"/>
                <w:szCs w:val="24"/>
              </w:rPr>
            </w:pPr>
            <w:r w:rsidRPr="00A929CE">
              <w:rPr>
                <w:rFonts w:asciiTheme="minorHAnsi" w:hAnsiTheme="minorHAnsi" w:cs="Tahoma"/>
                <w:bCs/>
                <w:sz w:val="24"/>
                <w:szCs w:val="24"/>
              </w:rPr>
              <w:t xml:space="preserve">Les ENAP n’ont pas été réalisées </w:t>
            </w:r>
          </w:p>
          <w:p w:rsidR="00213E73" w:rsidRPr="00A929CE" w:rsidRDefault="00213E73" w:rsidP="00213E73">
            <w:pPr>
              <w:autoSpaceDE w:val="0"/>
              <w:autoSpaceDN w:val="0"/>
              <w:adjustRightInd w:val="0"/>
              <w:spacing w:line="360" w:lineRule="auto"/>
              <w:jc w:val="both"/>
              <w:rPr>
                <w:rFonts w:asciiTheme="minorHAnsi" w:hAnsiTheme="minorHAnsi" w:cs="Tahoma"/>
                <w:b/>
                <w:sz w:val="24"/>
                <w:szCs w:val="24"/>
              </w:rPr>
            </w:pPr>
          </w:p>
        </w:tc>
      </w:tr>
      <w:tr w:rsidR="00213E73" w:rsidRPr="00A929CE" w:rsidTr="008C046F">
        <w:tc>
          <w:tcPr>
            <w:tcW w:w="2439" w:type="dxa"/>
            <w:shd w:val="clear" w:color="auto" w:fill="BFBFBF" w:themeFill="background1" w:themeFillShade="BF"/>
          </w:tcPr>
          <w:p w:rsidR="00213E73" w:rsidRPr="00A929CE" w:rsidRDefault="00213E73" w:rsidP="00213E73">
            <w:pPr>
              <w:spacing w:line="360" w:lineRule="auto"/>
              <w:rPr>
                <w:rFonts w:asciiTheme="minorHAnsi" w:hAnsiTheme="minorHAnsi" w:cs="Tahoma"/>
                <w:b/>
                <w:bCs/>
                <w:sz w:val="24"/>
                <w:szCs w:val="24"/>
                <w:lang w:eastAsia="en-GB"/>
              </w:rPr>
            </w:pPr>
            <w:r w:rsidRPr="00A929CE">
              <w:rPr>
                <w:rFonts w:asciiTheme="minorHAnsi" w:hAnsiTheme="minorHAnsi" w:cs="Tahoma"/>
                <w:b/>
                <w:bCs/>
                <w:sz w:val="24"/>
                <w:szCs w:val="24"/>
              </w:rPr>
              <w:t>R 34 : Adaptation du cadre réglementaire</w:t>
            </w:r>
          </w:p>
        </w:tc>
        <w:tc>
          <w:tcPr>
            <w:tcW w:w="6804" w:type="dxa"/>
          </w:tcPr>
          <w:p w:rsidR="00213E73" w:rsidRPr="00A929CE" w:rsidRDefault="00213E73" w:rsidP="00213E73">
            <w:pPr>
              <w:autoSpaceDE w:val="0"/>
              <w:autoSpaceDN w:val="0"/>
              <w:adjustRightInd w:val="0"/>
              <w:spacing w:line="360" w:lineRule="auto"/>
              <w:jc w:val="both"/>
              <w:rPr>
                <w:rFonts w:asciiTheme="minorHAnsi" w:hAnsiTheme="minorHAnsi" w:cs="Tahoma"/>
                <w:sz w:val="24"/>
                <w:szCs w:val="24"/>
              </w:rPr>
            </w:pPr>
            <w:r w:rsidRPr="00A929CE">
              <w:rPr>
                <w:rFonts w:asciiTheme="minorHAnsi" w:hAnsiTheme="minorHAnsi" w:cs="Tahoma"/>
                <w:sz w:val="24"/>
                <w:szCs w:val="24"/>
              </w:rPr>
              <w:t>Le chevauchement de compétences institutionnel doit être rectifié pour développer la complémentarité et le renforcement des synergies d’actions. C’est pourquoi, les textes des structures autres que la DNACPN doivent être réactualisés pour mettre en exergue leur caractère participatif dans l’assainissement</w:t>
            </w:r>
          </w:p>
        </w:tc>
        <w:tc>
          <w:tcPr>
            <w:tcW w:w="6379" w:type="dxa"/>
          </w:tcPr>
          <w:p w:rsidR="00213E73" w:rsidRPr="00A929CE" w:rsidRDefault="00213E73" w:rsidP="00213E73">
            <w:pPr>
              <w:autoSpaceDE w:val="0"/>
              <w:autoSpaceDN w:val="0"/>
              <w:adjustRightInd w:val="0"/>
              <w:spacing w:line="360" w:lineRule="auto"/>
              <w:jc w:val="both"/>
              <w:rPr>
                <w:rFonts w:asciiTheme="minorHAnsi" w:hAnsiTheme="minorHAnsi" w:cs="Tahoma"/>
                <w:sz w:val="24"/>
                <w:szCs w:val="24"/>
              </w:rPr>
            </w:pPr>
            <w:r w:rsidRPr="00A929CE">
              <w:rPr>
                <w:rFonts w:asciiTheme="minorHAnsi" w:hAnsiTheme="minorHAnsi" w:cs="Tahoma"/>
                <w:bCs/>
                <w:sz w:val="24"/>
                <w:szCs w:val="24"/>
              </w:rPr>
              <w:t xml:space="preserve">De nombreux textes législatifs et réglementaires ont été adoptés en vue de prendre en charge les questions relatives à l’assainissement. </w:t>
            </w:r>
          </w:p>
          <w:p w:rsidR="00213E73" w:rsidRPr="00A929CE" w:rsidRDefault="00213E73" w:rsidP="00213E73">
            <w:pPr>
              <w:autoSpaceDE w:val="0"/>
              <w:autoSpaceDN w:val="0"/>
              <w:adjustRightInd w:val="0"/>
              <w:spacing w:line="360" w:lineRule="auto"/>
              <w:jc w:val="both"/>
              <w:rPr>
                <w:rFonts w:asciiTheme="minorHAnsi" w:hAnsiTheme="minorHAnsi" w:cs="Tahoma"/>
                <w:sz w:val="24"/>
                <w:szCs w:val="24"/>
              </w:rPr>
            </w:pPr>
            <w:r w:rsidRPr="00A929CE">
              <w:rPr>
                <w:rFonts w:asciiTheme="minorHAnsi" w:hAnsiTheme="minorHAnsi" w:cs="Tahoma"/>
                <w:bCs/>
                <w:sz w:val="24"/>
                <w:szCs w:val="24"/>
              </w:rPr>
              <w:t>Certains de ces textes sont à certains égards dépassés et ont besoin d’être actualisés pour mieux prendre en compte certains défis. C’est le cas en particulier de la loi sur les pollutions et nuisances ou encore le Code d’hygiène publique.</w:t>
            </w:r>
          </w:p>
          <w:p w:rsidR="00213E73" w:rsidRPr="00A929CE" w:rsidRDefault="00213E73" w:rsidP="00213E73">
            <w:pPr>
              <w:autoSpaceDE w:val="0"/>
              <w:autoSpaceDN w:val="0"/>
              <w:adjustRightInd w:val="0"/>
              <w:spacing w:line="360" w:lineRule="auto"/>
              <w:jc w:val="both"/>
              <w:rPr>
                <w:rFonts w:asciiTheme="minorHAnsi" w:hAnsiTheme="minorHAnsi" w:cs="Tahoma"/>
                <w:b/>
                <w:sz w:val="24"/>
                <w:szCs w:val="24"/>
              </w:rPr>
            </w:pPr>
          </w:p>
        </w:tc>
      </w:tr>
    </w:tbl>
    <w:p w:rsidR="00401831" w:rsidRPr="00A929CE" w:rsidRDefault="00401831" w:rsidP="00B8772C">
      <w:pPr>
        <w:pStyle w:val="BodyText"/>
        <w:spacing w:line="360" w:lineRule="auto"/>
        <w:rPr>
          <w:rFonts w:asciiTheme="minorHAnsi" w:hAnsiTheme="minorHAnsi" w:cstheme="minorHAnsi"/>
          <w:sz w:val="24"/>
          <w:szCs w:val="24"/>
        </w:rPr>
        <w:sectPr w:rsidR="00401831" w:rsidRPr="00A929CE" w:rsidSect="004A6674">
          <w:pgSz w:w="16838" w:h="11906" w:orient="landscape"/>
          <w:pgMar w:top="1417" w:right="1417" w:bottom="1417" w:left="1417" w:header="708" w:footer="708" w:gutter="0"/>
          <w:cols w:space="708"/>
          <w:docGrid w:linePitch="360"/>
        </w:sectPr>
      </w:pPr>
    </w:p>
    <w:p w:rsidR="00156302" w:rsidRPr="00A929CE" w:rsidRDefault="00156302" w:rsidP="00B8772C">
      <w:pPr>
        <w:pStyle w:val="Titre3"/>
        <w:spacing w:line="360" w:lineRule="auto"/>
        <w:jc w:val="both"/>
        <w:rPr>
          <w:rFonts w:asciiTheme="minorHAnsi" w:hAnsiTheme="minorHAnsi" w:cstheme="minorHAnsi"/>
          <w:sz w:val="24"/>
          <w:szCs w:val="24"/>
        </w:rPr>
      </w:pPr>
      <w:bookmarkStart w:id="60" w:name="_Toc515962899"/>
      <w:bookmarkStart w:id="61" w:name="_Toc536448599"/>
      <w:r w:rsidRPr="00A929CE">
        <w:rPr>
          <w:rFonts w:asciiTheme="minorHAnsi" w:hAnsiTheme="minorHAnsi" w:cstheme="minorHAnsi"/>
          <w:sz w:val="24"/>
          <w:szCs w:val="24"/>
        </w:rPr>
        <w:t>Appréciation du pilotage de la PNA et des stratégies sous-sectorielles</w:t>
      </w:r>
      <w:bookmarkEnd w:id="61"/>
    </w:p>
    <w:p w:rsidR="00156302" w:rsidRPr="00A929CE" w:rsidRDefault="00156302" w:rsidP="00B8772C">
      <w:pPr>
        <w:spacing w:line="360" w:lineRule="auto"/>
        <w:jc w:val="both"/>
        <w:rPr>
          <w:rFonts w:asciiTheme="minorHAnsi" w:hAnsiTheme="minorHAnsi" w:cstheme="minorHAnsi"/>
          <w:sz w:val="24"/>
          <w:szCs w:val="24"/>
        </w:rPr>
      </w:pPr>
      <w:r w:rsidRPr="00A929CE">
        <w:rPr>
          <w:rFonts w:asciiTheme="minorHAnsi" w:hAnsiTheme="minorHAnsi" w:cstheme="minorHAnsi"/>
          <w:sz w:val="24"/>
          <w:szCs w:val="24"/>
        </w:rPr>
        <w:t>Il est à remarquer que les institutions étatiques impliquées dans la gestion du sous-secteur de l’assainissement au Mali sont nombreuses. En effet, et ce, compte tenu du caractère transversal de l’assainissement, les compétences qui s’y rapportent sont réparties entre plusieurs départements ministériels dont les plus importants sont :</w:t>
      </w:r>
    </w:p>
    <w:p w:rsidR="00156302" w:rsidRPr="00A929CE" w:rsidRDefault="00156302" w:rsidP="001754BB">
      <w:pPr>
        <w:pStyle w:val="Paragraphedeliste"/>
        <w:numPr>
          <w:ilvl w:val="0"/>
          <w:numId w:val="30"/>
        </w:numPr>
        <w:spacing w:line="360" w:lineRule="auto"/>
        <w:ind w:left="1068"/>
        <w:contextualSpacing w:val="0"/>
        <w:jc w:val="both"/>
        <w:rPr>
          <w:rFonts w:asciiTheme="minorHAnsi" w:hAnsiTheme="minorHAnsi" w:cstheme="minorHAnsi"/>
          <w:sz w:val="24"/>
          <w:szCs w:val="24"/>
        </w:rPr>
      </w:pPr>
      <w:r w:rsidRPr="00A929CE">
        <w:rPr>
          <w:rFonts w:asciiTheme="minorHAnsi" w:hAnsiTheme="minorHAnsi" w:cstheme="minorHAnsi"/>
          <w:i/>
          <w:sz w:val="24"/>
          <w:szCs w:val="24"/>
        </w:rPr>
        <w:t xml:space="preserve">Le Ministère chargé de l’Assainissement </w:t>
      </w:r>
      <w:r w:rsidRPr="00A929CE">
        <w:rPr>
          <w:rFonts w:asciiTheme="minorHAnsi" w:hAnsiTheme="minorHAnsi" w:cstheme="minorHAnsi"/>
          <w:sz w:val="24"/>
          <w:szCs w:val="24"/>
        </w:rPr>
        <w:t>qui est censé assurer le leadership du secteur à travers le portage politique des orientations du Gouvernement en matière d’assainissement et la coordination des interventions ;</w:t>
      </w:r>
    </w:p>
    <w:p w:rsidR="00156302" w:rsidRPr="00A929CE" w:rsidRDefault="00156302" w:rsidP="001754BB">
      <w:pPr>
        <w:pStyle w:val="Paragraphedeliste"/>
        <w:numPr>
          <w:ilvl w:val="0"/>
          <w:numId w:val="31"/>
        </w:numPr>
        <w:spacing w:line="360" w:lineRule="auto"/>
        <w:ind w:left="1068"/>
        <w:contextualSpacing w:val="0"/>
        <w:jc w:val="both"/>
        <w:rPr>
          <w:rFonts w:asciiTheme="minorHAnsi" w:hAnsiTheme="minorHAnsi" w:cstheme="minorHAnsi"/>
          <w:sz w:val="24"/>
          <w:szCs w:val="24"/>
        </w:rPr>
      </w:pPr>
      <w:r w:rsidRPr="00A929CE">
        <w:rPr>
          <w:rFonts w:asciiTheme="minorHAnsi" w:hAnsiTheme="minorHAnsi" w:cstheme="minorHAnsi"/>
          <w:i/>
          <w:sz w:val="24"/>
          <w:szCs w:val="24"/>
        </w:rPr>
        <w:t xml:space="preserve">Le Ministère chargé de l’Eau </w:t>
      </w:r>
      <w:r w:rsidRPr="00A929CE">
        <w:rPr>
          <w:rFonts w:asciiTheme="minorHAnsi" w:hAnsiTheme="minorHAnsi" w:cstheme="minorHAnsi"/>
          <w:sz w:val="24"/>
          <w:szCs w:val="24"/>
        </w:rPr>
        <w:t>à travers la programmation des interventions relatives à l’assainissement en lien avec l’eau ;</w:t>
      </w:r>
    </w:p>
    <w:p w:rsidR="00156302" w:rsidRPr="00A929CE" w:rsidRDefault="00156302" w:rsidP="00BC7FF5">
      <w:pPr>
        <w:pStyle w:val="Paragraphedeliste"/>
        <w:numPr>
          <w:ilvl w:val="0"/>
          <w:numId w:val="31"/>
        </w:numPr>
        <w:spacing w:line="360" w:lineRule="auto"/>
        <w:ind w:left="1068"/>
        <w:contextualSpacing w:val="0"/>
        <w:jc w:val="both"/>
        <w:rPr>
          <w:rFonts w:asciiTheme="minorHAnsi" w:hAnsiTheme="minorHAnsi" w:cstheme="minorHAnsi"/>
          <w:sz w:val="24"/>
          <w:szCs w:val="24"/>
        </w:rPr>
      </w:pPr>
      <w:r w:rsidRPr="00A929CE">
        <w:rPr>
          <w:rFonts w:asciiTheme="minorHAnsi" w:hAnsiTheme="minorHAnsi" w:cstheme="minorHAnsi"/>
          <w:i/>
          <w:sz w:val="24"/>
          <w:szCs w:val="24"/>
        </w:rPr>
        <w:t xml:space="preserve">Le Ministère chargé de l’Administration Territoriale </w:t>
      </w:r>
      <w:r w:rsidRPr="00A929CE">
        <w:rPr>
          <w:rFonts w:asciiTheme="minorHAnsi" w:hAnsiTheme="minorHAnsi" w:cstheme="minorHAnsi"/>
          <w:sz w:val="24"/>
          <w:szCs w:val="24"/>
        </w:rPr>
        <w:t>bien que ne disposant pas de compétences spécifiques en matière d’assainissement assure la tutelle des collectivités territoriales lesquelles sont des acteurs majeurs dans ce domaine ;</w:t>
      </w:r>
    </w:p>
    <w:p w:rsidR="00156302" w:rsidRPr="00A929CE" w:rsidRDefault="00156302" w:rsidP="00112EE9">
      <w:pPr>
        <w:pStyle w:val="Paragraphedeliste"/>
        <w:numPr>
          <w:ilvl w:val="0"/>
          <w:numId w:val="31"/>
        </w:numPr>
        <w:spacing w:line="360" w:lineRule="auto"/>
        <w:ind w:left="1068"/>
        <w:contextualSpacing w:val="0"/>
        <w:jc w:val="both"/>
        <w:rPr>
          <w:rFonts w:asciiTheme="minorHAnsi" w:hAnsiTheme="minorHAnsi" w:cstheme="minorHAnsi"/>
          <w:sz w:val="24"/>
          <w:szCs w:val="24"/>
        </w:rPr>
      </w:pPr>
      <w:r w:rsidRPr="00A929CE">
        <w:rPr>
          <w:rFonts w:asciiTheme="minorHAnsi" w:hAnsiTheme="minorHAnsi" w:cstheme="minorHAnsi"/>
          <w:i/>
          <w:sz w:val="24"/>
          <w:szCs w:val="24"/>
        </w:rPr>
        <w:t xml:space="preserve">Le Ministère chargé de la Santé Publique, </w:t>
      </w:r>
      <w:r w:rsidRPr="00A929CE">
        <w:rPr>
          <w:rFonts w:asciiTheme="minorHAnsi" w:hAnsiTheme="minorHAnsi" w:cstheme="minorHAnsi"/>
          <w:sz w:val="24"/>
          <w:szCs w:val="24"/>
        </w:rPr>
        <w:t>les textes lui confèrent des compétences en matière d’hygiène publique. Par ailleurs, les services de ce Ministère génèrent des déchets spéciaux dont la prise en charge nécessite des actions spécifiques ;</w:t>
      </w:r>
    </w:p>
    <w:p w:rsidR="00156302" w:rsidRPr="00A929CE" w:rsidRDefault="00156302" w:rsidP="00112EE9">
      <w:pPr>
        <w:pStyle w:val="Paragraphedeliste"/>
        <w:numPr>
          <w:ilvl w:val="0"/>
          <w:numId w:val="31"/>
        </w:numPr>
        <w:spacing w:line="360" w:lineRule="auto"/>
        <w:ind w:left="1068"/>
        <w:contextualSpacing w:val="0"/>
        <w:jc w:val="both"/>
        <w:rPr>
          <w:rFonts w:asciiTheme="minorHAnsi" w:hAnsiTheme="minorHAnsi" w:cstheme="minorHAnsi"/>
          <w:sz w:val="24"/>
          <w:szCs w:val="24"/>
        </w:rPr>
      </w:pPr>
      <w:r w:rsidRPr="00A929CE">
        <w:rPr>
          <w:rFonts w:asciiTheme="minorHAnsi" w:hAnsiTheme="minorHAnsi" w:cstheme="minorHAnsi"/>
          <w:i/>
          <w:sz w:val="24"/>
          <w:szCs w:val="24"/>
        </w:rPr>
        <w:t xml:space="preserve">Les Ministères chargés de l’Industrie et des Mines </w:t>
      </w:r>
      <w:r w:rsidRPr="00A929CE">
        <w:rPr>
          <w:rFonts w:asciiTheme="minorHAnsi" w:hAnsiTheme="minorHAnsi" w:cstheme="minorHAnsi"/>
          <w:sz w:val="24"/>
          <w:szCs w:val="24"/>
        </w:rPr>
        <w:t>sont concernés par l’assainissement au titre de la production et de l’élimination des déchets dangereux ;</w:t>
      </w:r>
    </w:p>
    <w:p w:rsidR="00156302" w:rsidRPr="00A929CE" w:rsidRDefault="00156302" w:rsidP="00A929CE">
      <w:pPr>
        <w:pStyle w:val="Paragraphedeliste"/>
        <w:numPr>
          <w:ilvl w:val="0"/>
          <w:numId w:val="31"/>
        </w:numPr>
        <w:spacing w:line="360" w:lineRule="auto"/>
        <w:ind w:left="1068"/>
        <w:contextualSpacing w:val="0"/>
        <w:jc w:val="both"/>
        <w:rPr>
          <w:rFonts w:asciiTheme="minorHAnsi" w:hAnsiTheme="minorHAnsi" w:cstheme="minorHAnsi"/>
          <w:sz w:val="24"/>
          <w:szCs w:val="24"/>
        </w:rPr>
      </w:pPr>
      <w:r w:rsidRPr="00A929CE">
        <w:rPr>
          <w:rFonts w:asciiTheme="minorHAnsi" w:hAnsiTheme="minorHAnsi" w:cstheme="minorHAnsi"/>
          <w:i/>
          <w:sz w:val="24"/>
          <w:szCs w:val="24"/>
        </w:rPr>
        <w:t xml:space="preserve">Le Ministère chargé de l’Urbanisme et de l’Habitat </w:t>
      </w:r>
      <w:r w:rsidRPr="00A929CE">
        <w:rPr>
          <w:rFonts w:asciiTheme="minorHAnsi" w:hAnsiTheme="minorHAnsi" w:cstheme="minorHAnsi"/>
          <w:sz w:val="24"/>
          <w:szCs w:val="24"/>
        </w:rPr>
        <w:t>exerce des compétences en matière d’assainissement par le truchement des schémas directeurs d’urbanisme, la conception et la mise en œuvre des systèmes d’évacuation des eaux pluviales et des eaux usées ;</w:t>
      </w:r>
    </w:p>
    <w:p w:rsidR="00156302" w:rsidRPr="00A929CE" w:rsidRDefault="00156302" w:rsidP="00A929CE">
      <w:pPr>
        <w:pStyle w:val="Paragraphedeliste"/>
        <w:numPr>
          <w:ilvl w:val="0"/>
          <w:numId w:val="31"/>
        </w:numPr>
        <w:spacing w:line="360" w:lineRule="auto"/>
        <w:ind w:left="1068"/>
        <w:contextualSpacing w:val="0"/>
        <w:jc w:val="both"/>
        <w:rPr>
          <w:rFonts w:asciiTheme="minorHAnsi" w:hAnsiTheme="minorHAnsi" w:cstheme="minorHAnsi"/>
          <w:sz w:val="24"/>
          <w:szCs w:val="24"/>
        </w:rPr>
      </w:pPr>
      <w:r w:rsidRPr="00A929CE">
        <w:rPr>
          <w:rFonts w:asciiTheme="minorHAnsi" w:hAnsiTheme="minorHAnsi" w:cstheme="minorHAnsi"/>
          <w:i/>
          <w:sz w:val="24"/>
          <w:szCs w:val="24"/>
        </w:rPr>
        <w:t xml:space="preserve">Le Ministère chargé de l’Education </w:t>
      </w:r>
      <w:r w:rsidRPr="00A929CE">
        <w:rPr>
          <w:rFonts w:asciiTheme="minorHAnsi" w:hAnsiTheme="minorHAnsi" w:cstheme="minorHAnsi"/>
          <w:sz w:val="24"/>
          <w:szCs w:val="24"/>
        </w:rPr>
        <w:t>à travers la tutelle des écoles, et l’insertion des questions relatives à l’hygiène et l’assainissement dans les curricula.</w:t>
      </w:r>
    </w:p>
    <w:p w:rsidR="00156302" w:rsidRPr="00A929CE" w:rsidRDefault="00156302" w:rsidP="00A929CE">
      <w:pPr>
        <w:spacing w:line="360" w:lineRule="auto"/>
        <w:jc w:val="both"/>
        <w:rPr>
          <w:rFonts w:asciiTheme="minorHAnsi" w:hAnsiTheme="minorHAnsi" w:cstheme="minorHAnsi"/>
          <w:sz w:val="24"/>
          <w:szCs w:val="24"/>
        </w:rPr>
      </w:pPr>
    </w:p>
    <w:p w:rsidR="00156302" w:rsidRPr="00A929CE" w:rsidRDefault="00156302" w:rsidP="00A929CE">
      <w:pPr>
        <w:spacing w:line="360" w:lineRule="auto"/>
        <w:jc w:val="both"/>
        <w:rPr>
          <w:rFonts w:asciiTheme="minorHAnsi" w:hAnsiTheme="minorHAnsi" w:cstheme="minorHAnsi"/>
          <w:sz w:val="24"/>
          <w:szCs w:val="24"/>
          <w:lang w:eastAsia="en-GB"/>
        </w:rPr>
      </w:pPr>
      <w:r w:rsidRPr="00A929CE">
        <w:rPr>
          <w:rFonts w:asciiTheme="minorHAnsi" w:hAnsiTheme="minorHAnsi" w:cstheme="minorHAnsi"/>
          <w:sz w:val="24"/>
          <w:szCs w:val="24"/>
        </w:rPr>
        <w:t xml:space="preserve">Aux départements ministériels s’ajoutent les collectivités territoriales notamment les communes. </w:t>
      </w:r>
      <w:r w:rsidRPr="00A929CE">
        <w:rPr>
          <w:rFonts w:asciiTheme="minorHAnsi" w:hAnsiTheme="minorHAnsi" w:cstheme="minorHAnsi"/>
          <w:sz w:val="24"/>
          <w:szCs w:val="24"/>
          <w:lang w:eastAsia="en-GB"/>
        </w:rPr>
        <w:t>L’assainissement étant essentiellement une problématique locale, les textes sur la décentralisation ont fait des communes dans ce domaine, les acteurs de premier</w:t>
      </w:r>
      <w:r w:rsidR="00E02139">
        <w:rPr>
          <w:rFonts w:asciiTheme="minorHAnsi" w:hAnsiTheme="minorHAnsi" w:cstheme="minorHAnsi"/>
          <w:sz w:val="24"/>
          <w:szCs w:val="24"/>
          <w:lang w:eastAsia="en-GB"/>
        </w:rPr>
        <w:t xml:space="preserve"> plan</w:t>
      </w:r>
      <w:r w:rsidRPr="00A929CE">
        <w:rPr>
          <w:rFonts w:asciiTheme="minorHAnsi" w:hAnsiTheme="minorHAnsi" w:cstheme="minorHAnsi"/>
          <w:sz w:val="24"/>
          <w:szCs w:val="24"/>
          <w:lang w:eastAsia="en-GB"/>
        </w:rPr>
        <w:t>. Les compétences s’y rapportant leurs ont été transférées, faisant d’elles les maîtres d’ouvrages dans le domaine. Cette maîtrise d’ouvrage est cependant limitée par de nombreux facteurs parmi lesquels on peut citer :</w:t>
      </w:r>
    </w:p>
    <w:p w:rsidR="00156302" w:rsidRPr="00A929CE" w:rsidRDefault="00156302" w:rsidP="00A929CE">
      <w:pPr>
        <w:spacing w:line="360" w:lineRule="auto"/>
        <w:jc w:val="both"/>
        <w:rPr>
          <w:rFonts w:asciiTheme="minorHAnsi" w:hAnsiTheme="minorHAnsi" w:cstheme="minorHAnsi"/>
          <w:sz w:val="24"/>
          <w:szCs w:val="24"/>
          <w:lang w:eastAsia="en-GB"/>
        </w:rPr>
      </w:pPr>
    </w:p>
    <w:p w:rsidR="00156302" w:rsidRPr="00A929CE" w:rsidRDefault="00156302" w:rsidP="00A929CE">
      <w:pPr>
        <w:pStyle w:val="Paragraphedeliste"/>
        <w:numPr>
          <w:ilvl w:val="0"/>
          <w:numId w:val="32"/>
        </w:numPr>
        <w:spacing w:line="360" w:lineRule="auto"/>
        <w:contextualSpacing w:val="0"/>
        <w:jc w:val="both"/>
        <w:rPr>
          <w:rFonts w:asciiTheme="minorHAnsi" w:hAnsiTheme="minorHAnsi" w:cstheme="minorHAnsi"/>
          <w:sz w:val="24"/>
          <w:szCs w:val="24"/>
          <w:lang w:eastAsia="en-GB"/>
        </w:rPr>
      </w:pPr>
      <w:r w:rsidRPr="00A929CE">
        <w:rPr>
          <w:rFonts w:asciiTheme="minorHAnsi" w:hAnsiTheme="minorHAnsi" w:cstheme="minorHAnsi"/>
          <w:i/>
          <w:sz w:val="24"/>
          <w:szCs w:val="24"/>
          <w:lang w:eastAsia="en-GB"/>
        </w:rPr>
        <w:t xml:space="preserve">La faiblesse des moyens financiers des collectivités territoriales : </w:t>
      </w:r>
      <w:r w:rsidRPr="00A929CE">
        <w:rPr>
          <w:rFonts w:asciiTheme="minorHAnsi" w:hAnsiTheme="minorHAnsi" w:cstheme="minorHAnsi"/>
          <w:sz w:val="24"/>
          <w:szCs w:val="24"/>
          <w:lang w:eastAsia="en-GB"/>
        </w:rPr>
        <w:t>Cette faiblesse est la conséquence de la faible performance de la fiscalité locale. Elle est aggravée par le fait que le transfert des compétences n’a pas été suivi de l’affectation de ressources financières, humaines et matérielles correspondantes ;</w:t>
      </w:r>
    </w:p>
    <w:p w:rsidR="00156302" w:rsidRPr="00A929CE" w:rsidRDefault="00156302" w:rsidP="00A929CE">
      <w:pPr>
        <w:pStyle w:val="Paragraphedeliste"/>
        <w:spacing w:line="360" w:lineRule="auto"/>
        <w:ind w:left="1068"/>
        <w:contextualSpacing w:val="0"/>
        <w:jc w:val="both"/>
        <w:rPr>
          <w:rFonts w:asciiTheme="minorHAnsi" w:hAnsiTheme="minorHAnsi" w:cstheme="minorHAnsi"/>
          <w:sz w:val="24"/>
          <w:szCs w:val="24"/>
          <w:lang w:eastAsia="en-GB"/>
        </w:rPr>
      </w:pPr>
    </w:p>
    <w:p w:rsidR="00156302" w:rsidRPr="00A929CE" w:rsidRDefault="00156302" w:rsidP="00A929CE">
      <w:pPr>
        <w:pStyle w:val="Paragraphedeliste"/>
        <w:numPr>
          <w:ilvl w:val="0"/>
          <w:numId w:val="32"/>
        </w:numPr>
        <w:spacing w:line="360" w:lineRule="auto"/>
        <w:contextualSpacing w:val="0"/>
        <w:jc w:val="both"/>
        <w:rPr>
          <w:rFonts w:asciiTheme="minorHAnsi" w:hAnsiTheme="minorHAnsi" w:cstheme="minorHAnsi"/>
          <w:sz w:val="24"/>
          <w:szCs w:val="24"/>
          <w:lang w:eastAsia="en-GB"/>
        </w:rPr>
      </w:pPr>
      <w:r w:rsidRPr="00A929CE">
        <w:rPr>
          <w:rFonts w:asciiTheme="minorHAnsi" w:hAnsiTheme="minorHAnsi" w:cstheme="minorHAnsi"/>
          <w:i/>
          <w:sz w:val="24"/>
          <w:szCs w:val="24"/>
        </w:rPr>
        <w:t xml:space="preserve">La faiblesse des ressources humaines : </w:t>
      </w:r>
      <w:r w:rsidRPr="00A929CE">
        <w:rPr>
          <w:rFonts w:asciiTheme="minorHAnsi" w:hAnsiTheme="minorHAnsi" w:cstheme="minorHAnsi"/>
          <w:sz w:val="24"/>
          <w:szCs w:val="24"/>
        </w:rPr>
        <w:t xml:space="preserve">Elle est en grande partie la conséquence de la </w:t>
      </w:r>
      <w:r w:rsidRPr="00A929CE">
        <w:rPr>
          <w:rFonts w:asciiTheme="minorHAnsi" w:hAnsiTheme="minorHAnsi" w:cstheme="minorHAnsi"/>
          <w:i/>
          <w:sz w:val="24"/>
          <w:szCs w:val="24"/>
          <w:lang w:eastAsia="en-GB"/>
        </w:rPr>
        <w:t>faiblesse des moyens financiers</w:t>
      </w:r>
      <w:r w:rsidRPr="00A929CE">
        <w:rPr>
          <w:rFonts w:asciiTheme="minorHAnsi" w:hAnsiTheme="minorHAnsi" w:cstheme="minorHAnsi"/>
          <w:sz w:val="24"/>
          <w:szCs w:val="24"/>
        </w:rPr>
        <w:t xml:space="preserve"> des collectivités territoriales. A l’exception des grands centres urbains, les municipalités ne disposent pas d’un personnel technique permanent spécifiquement chargé de l’assainissement ;</w:t>
      </w:r>
    </w:p>
    <w:p w:rsidR="00156302" w:rsidRPr="00A929CE" w:rsidRDefault="00156302" w:rsidP="00A929CE">
      <w:pPr>
        <w:pStyle w:val="Paragraphedeliste"/>
        <w:spacing w:line="360" w:lineRule="auto"/>
        <w:ind w:left="1068"/>
        <w:jc w:val="both"/>
        <w:rPr>
          <w:rFonts w:asciiTheme="minorHAnsi" w:hAnsiTheme="minorHAnsi" w:cstheme="minorHAnsi"/>
          <w:sz w:val="24"/>
          <w:szCs w:val="24"/>
          <w:lang w:eastAsia="en-GB"/>
        </w:rPr>
      </w:pPr>
    </w:p>
    <w:p w:rsidR="00156302" w:rsidRPr="00A929CE" w:rsidRDefault="00156302" w:rsidP="00A929CE">
      <w:pPr>
        <w:pStyle w:val="Paragraphedeliste"/>
        <w:numPr>
          <w:ilvl w:val="0"/>
          <w:numId w:val="32"/>
        </w:numPr>
        <w:spacing w:line="360" w:lineRule="auto"/>
        <w:contextualSpacing w:val="0"/>
        <w:jc w:val="both"/>
        <w:rPr>
          <w:rFonts w:asciiTheme="minorHAnsi" w:hAnsiTheme="minorHAnsi" w:cstheme="minorHAnsi"/>
          <w:sz w:val="24"/>
          <w:szCs w:val="24"/>
        </w:rPr>
      </w:pPr>
      <w:r w:rsidRPr="00A929CE">
        <w:rPr>
          <w:rFonts w:asciiTheme="minorHAnsi" w:hAnsiTheme="minorHAnsi" w:cstheme="minorHAnsi"/>
          <w:i/>
          <w:sz w:val="24"/>
          <w:szCs w:val="24"/>
        </w:rPr>
        <w:t>La disponibilité très réduite de l’accompagnement technique :</w:t>
      </w:r>
      <w:r w:rsidRPr="00A929CE">
        <w:rPr>
          <w:rFonts w:asciiTheme="minorHAnsi" w:hAnsiTheme="minorHAnsi" w:cstheme="minorHAnsi"/>
          <w:sz w:val="24"/>
          <w:szCs w:val="24"/>
        </w:rPr>
        <w:t xml:space="preserve"> Les services de la DNACPN n’étant pas présents dans la plupart des communes, celles-ci ne bénéficient pas de l’accompagnement technique dont elles ont besoin pour développer des activités en matière d’assainissement ;</w:t>
      </w:r>
    </w:p>
    <w:p w:rsidR="00156302" w:rsidRPr="00A929CE" w:rsidRDefault="00156302" w:rsidP="00A929CE">
      <w:pPr>
        <w:pStyle w:val="Paragraphedeliste"/>
        <w:spacing w:line="360" w:lineRule="auto"/>
        <w:ind w:left="1068"/>
        <w:jc w:val="both"/>
        <w:rPr>
          <w:rFonts w:asciiTheme="minorHAnsi" w:hAnsiTheme="minorHAnsi" w:cstheme="minorHAnsi"/>
          <w:sz w:val="24"/>
          <w:szCs w:val="24"/>
        </w:rPr>
      </w:pPr>
    </w:p>
    <w:p w:rsidR="00156302" w:rsidRPr="00A929CE" w:rsidRDefault="00156302" w:rsidP="00A929CE">
      <w:pPr>
        <w:pStyle w:val="Paragraphedeliste"/>
        <w:numPr>
          <w:ilvl w:val="0"/>
          <w:numId w:val="32"/>
        </w:numPr>
        <w:spacing w:line="360" w:lineRule="auto"/>
        <w:contextualSpacing w:val="0"/>
        <w:jc w:val="both"/>
        <w:rPr>
          <w:rFonts w:asciiTheme="minorHAnsi" w:hAnsiTheme="minorHAnsi" w:cstheme="minorHAnsi"/>
          <w:sz w:val="24"/>
          <w:szCs w:val="24"/>
        </w:rPr>
      </w:pPr>
      <w:r w:rsidRPr="00A929CE">
        <w:rPr>
          <w:rFonts w:asciiTheme="minorHAnsi" w:hAnsiTheme="minorHAnsi" w:cstheme="minorHAnsi"/>
          <w:i/>
          <w:sz w:val="24"/>
          <w:szCs w:val="24"/>
        </w:rPr>
        <w:t>La forte centralisation de la gestion des projets et programmes :</w:t>
      </w:r>
      <w:r w:rsidRPr="00A929CE">
        <w:rPr>
          <w:rFonts w:asciiTheme="minorHAnsi" w:hAnsiTheme="minorHAnsi" w:cstheme="minorHAnsi"/>
          <w:sz w:val="24"/>
          <w:szCs w:val="24"/>
        </w:rPr>
        <w:t xml:space="preserve"> En effet, les communes sont très peu associées dans la gestion des projets et programmes se rapportant à l’assainissement même lorsque celles-ci ont été impliquées dans la phase de leur conception. Une inversion de cette tendance est toutefois attendue avec le développement progressif de l’approche ATPC.</w:t>
      </w:r>
    </w:p>
    <w:p w:rsidR="00156302" w:rsidRPr="00A929CE" w:rsidRDefault="00156302" w:rsidP="00A929CE">
      <w:pPr>
        <w:pStyle w:val="Paragraphedeliste"/>
        <w:spacing w:line="360" w:lineRule="auto"/>
        <w:rPr>
          <w:rFonts w:asciiTheme="minorHAnsi" w:hAnsiTheme="minorHAnsi" w:cstheme="minorHAnsi"/>
          <w:sz w:val="24"/>
          <w:szCs w:val="24"/>
        </w:rPr>
      </w:pPr>
    </w:p>
    <w:p w:rsidR="00156302" w:rsidRPr="00A929CE" w:rsidRDefault="00156302" w:rsidP="00B8772C">
      <w:pPr>
        <w:pStyle w:val="BodyText"/>
        <w:spacing w:line="360" w:lineRule="auto"/>
        <w:rPr>
          <w:rFonts w:asciiTheme="minorHAnsi" w:hAnsiTheme="minorHAnsi"/>
          <w:sz w:val="24"/>
          <w:szCs w:val="24"/>
        </w:rPr>
      </w:pPr>
      <w:r w:rsidRPr="00A929CE">
        <w:rPr>
          <w:rFonts w:asciiTheme="minorHAnsi" w:hAnsiTheme="minorHAnsi"/>
          <w:sz w:val="24"/>
          <w:szCs w:val="24"/>
        </w:rPr>
        <w:t xml:space="preserve">Les interventions des Ministères et des collectivités territoriales en matière d’assainissement sont complétées par celles des ONG nationales et internationales dont certaines ont développé une expertise </w:t>
      </w:r>
      <w:r w:rsidR="00E02139">
        <w:rPr>
          <w:rFonts w:asciiTheme="minorHAnsi" w:hAnsiTheme="minorHAnsi"/>
          <w:sz w:val="24"/>
          <w:szCs w:val="24"/>
        </w:rPr>
        <w:t xml:space="preserve">avérée </w:t>
      </w:r>
      <w:r w:rsidRPr="00A929CE">
        <w:rPr>
          <w:rFonts w:asciiTheme="minorHAnsi" w:hAnsiTheme="minorHAnsi"/>
          <w:sz w:val="24"/>
          <w:szCs w:val="24"/>
        </w:rPr>
        <w:t xml:space="preserve">dans le domaine. </w:t>
      </w:r>
    </w:p>
    <w:p w:rsidR="00156302" w:rsidRPr="00A929CE" w:rsidRDefault="00156302" w:rsidP="00B8772C">
      <w:pPr>
        <w:spacing w:line="360" w:lineRule="auto"/>
        <w:jc w:val="both"/>
        <w:rPr>
          <w:rFonts w:asciiTheme="minorHAnsi" w:eastAsia="Calibri" w:hAnsiTheme="minorHAnsi" w:cs="Tahoma"/>
          <w:sz w:val="24"/>
          <w:szCs w:val="24"/>
        </w:rPr>
      </w:pPr>
      <w:r w:rsidRPr="00A929CE">
        <w:rPr>
          <w:rFonts w:asciiTheme="minorHAnsi" w:hAnsiTheme="minorHAnsi" w:cs="Tahoma"/>
          <w:sz w:val="24"/>
          <w:szCs w:val="24"/>
        </w:rPr>
        <w:t>L</w:t>
      </w:r>
      <w:r w:rsidRPr="00A929CE">
        <w:rPr>
          <w:rFonts w:asciiTheme="minorHAnsi" w:eastAsia="Calibri" w:hAnsiTheme="minorHAnsi" w:cs="Tahoma"/>
          <w:sz w:val="24"/>
          <w:szCs w:val="24"/>
        </w:rPr>
        <w:t>’appropriation de la</w:t>
      </w:r>
      <w:r w:rsidRPr="00A929CE">
        <w:rPr>
          <w:rFonts w:asciiTheme="minorHAnsi" w:hAnsiTheme="minorHAnsi" w:cs="Tahoma"/>
          <w:sz w:val="24"/>
          <w:szCs w:val="24"/>
        </w:rPr>
        <w:t xml:space="preserve"> PNA par tous les </w:t>
      </w:r>
      <w:r w:rsidRPr="00A929CE">
        <w:rPr>
          <w:rFonts w:asciiTheme="minorHAnsi" w:eastAsia="Calibri" w:hAnsiTheme="minorHAnsi" w:cs="Tahoma"/>
          <w:sz w:val="24"/>
          <w:szCs w:val="24"/>
        </w:rPr>
        <w:t xml:space="preserve">acteurs </w:t>
      </w:r>
      <w:r w:rsidRPr="00A929CE">
        <w:rPr>
          <w:rFonts w:asciiTheme="minorHAnsi" w:hAnsiTheme="minorHAnsi" w:cs="Tahoma"/>
          <w:sz w:val="24"/>
          <w:szCs w:val="24"/>
        </w:rPr>
        <w:t xml:space="preserve">précités exige entre autres, la mise en place de mécanismes appropriés de mise en œuvre à tous les niveaux de l’organisation administrative. Ces mécanismes devraient garantir la participation et la </w:t>
      </w:r>
      <w:r w:rsidRPr="00A929CE">
        <w:rPr>
          <w:rFonts w:asciiTheme="minorHAnsi" w:eastAsia="Calibri" w:hAnsiTheme="minorHAnsi" w:cs="Tahoma"/>
          <w:sz w:val="24"/>
          <w:szCs w:val="24"/>
        </w:rPr>
        <w:t xml:space="preserve">responsabilisation des différentes parties prenantes </w:t>
      </w:r>
      <w:r w:rsidRPr="00A929CE">
        <w:rPr>
          <w:rFonts w:asciiTheme="minorHAnsi" w:hAnsiTheme="minorHAnsi" w:cs="Tahoma"/>
          <w:sz w:val="24"/>
          <w:szCs w:val="24"/>
        </w:rPr>
        <w:t xml:space="preserve">sur la base d’une </w:t>
      </w:r>
      <w:r w:rsidRPr="00A929CE">
        <w:rPr>
          <w:rFonts w:asciiTheme="minorHAnsi" w:eastAsia="Calibri" w:hAnsiTheme="minorHAnsi" w:cs="Tahoma"/>
          <w:sz w:val="24"/>
          <w:szCs w:val="24"/>
        </w:rPr>
        <w:t xml:space="preserve">définition </w:t>
      </w:r>
      <w:r w:rsidRPr="00A929CE">
        <w:rPr>
          <w:rFonts w:asciiTheme="minorHAnsi" w:hAnsiTheme="minorHAnsi" w:cs="Tahoma"/>
          <w:sz w:val="24"/>
          <w:szCs w:val="24"/>
        </w:rPr>
        <w:t xml:space="preserve">préalable de </w:t>
      </w:r>
      <w:r w:rsidRPr="00A929CE">
        <w:rPr>
          <w:rFonts w:asciiTheme="minorHAnsi" w:eastAsia="Calibri" w:hAnsiTheme="minorHAnsi" w:cs="Tahoma"/>
          <w:sz w:val="24"/>
          <w:szCs w:val="24"/>
        </w:rPr>
        <w:t>leurs rôles</w:t>
      </w:r>
      <w:r w:rsidRPr="00A929CE">
        <w:rPr>
          <w:rFonts w:asciiTheme="minorHAnsi" w:hAnsiTheme="minorHAnsi" w:cs="Tahoma"/>
          <w:sz w:val="24"/>
          <w:szCs w:val="24"/>
        </w:rPr>
        <w:t xml:space="preserve"> tout en veillant à </w:t>
      </w:r>
      <w:r w:rsidRPr="00A929CE">
        <w:rPr>
          <w:rFonts w:asciiTheme="minorHAnsi" w:eastAsia="Calibri" w:hAnsiTheme="minorHAnsi" w:cs="Tahoma"/>
          <w:sz w:val="24"/>
          <w:szCs w:val="24"/>
        </w:rPr>
        <w:t>la synergie entre</w:t>
      </w:r>
      <w:r w:rsidRPr="00A929CE">
        <w:rPr>
          <w:rFonts w:asciiTheme="minorHAnsi" w:hAnsiTheme="minorHAnsi" w:cs="Tahoma"/>
          <w:sz w:val="24"/>
          <w:szCs w:val="24"/>
        </w:rPr>
        <w:t xml:space="preserve"> eux.</w:t>
      </w:r>
    </w:p>
    <w:p w:rsidR="00156302" w:rsidRPr="00A929CE" w:rsidRDefault="00156302" w:rsidP="001754BB">
      <w:pPr>
        <w:spacing w:line="360" w:lineRule="auto"/>
        <w:jc w:val="both"/>
        <w:rPr>
          <w:rFonts w:asciiTheme="minorHAnsi" w:eastAsia="Calibri" w:hAnsiTheme="minorHAnsi" w:cs="Tahoma"/>
          <w:sz w:val="24"/>
          <w:szCs w:val="24"/>
        </w:rPr>
      </w:pPr>
      <w:r w:rsidRPr="00A929CE">
        <w:rPr>
          <w:rFonts w:asciiTheme="minorHAnsi" w:hAnsiTheme="minorHAnsi" w:cs="Tahoma"/>
          <w:color w:val="000000"/>
          <w:sz w:val="24"/>
          <w:szCs w:val="24"/>
        </w:rPr>
        <w:t>Or, en examinant les sections consacrées aux orientations et stratégies dans le document de la politique nationale d’assainissement on ne retrouve pas des développements clairs se rapportant au dispositif de mise en œuvre à fortiori une description de ses organes (comité de pilotage, comité de concertation, etc.). Il y a certes une présentation des acteurs du secteur et de leurs attributions telles qu’elles découlent pour l’essentiel des textes législatifs et règlementaires. Cependant, l’analyse du rôle que chacun de ces acteurs devrait jouer est faible voire inexistante ce qui explique en grande partie l’absence de référence à un dispositif de mise en œuvre. On retrouve cette lacune dans les stratégies sous sectorielles lesquelles se sont limitées à rappeler des généralités et à affirmer que la DNACPN assurera leur pilotage sans décrire la façon selon laquelle devrait s’opérer ce pilotage.</w:t>
      </w:r>
    </w:p>
    <w:p w:rsidR="00156302" w:rsidRPr="00A929CE" w:rsidRDefault="00156302" w:rsidP="001754BB">
      <w:pPr>
        <w:spacing w:line="360" w:lineRule="auto"/>
        <w:jc w:val="both"/>
        <w:rPr>
          <w:rFonts w:asciiTheme="minorHAnsi" w:hAnsiTheme="minorHAnsi" w:cs="Tahoma"/>
          <w:sz w:val="24"/>
          <w:szCs w:val="24"/>
        </w:rPr>
      </w:pPr>
    </w:p>
    <w:p w:rsidR="00156302" w:rsidRPr="00A929CE" w:rsidRDefault="00156302" w:rsidP="001754BB">
      <w:pPr>
        <w:spacing w:line="360" w:lineRule="auto"/>
        <w:jc w:val="both"/>
        <w:rPr>
          <w:rFonts w:asciiTheme="minorHAnsi" w:hAnsiTheme="minorHAnsi" w:cs="Tahoma"/>
          <w:sz w:val="24"/>
          <w:szCs w:val="24"/>
        </w:rPr>
      </w:pPr>
      <w:r w:rsidRPr="00A929CE">
        <w:rPr>
          <w:rFonts w:asciiTheme="minorHAnsi" w:hAnsiTheme="minorHAnsi" w:cs="Tahoma"/>
          <w:sz w:val="24"/>
          <w:szCs w:val="24"/>
        </w:rPr>
        <w:t>En définitive, il n’y a pas à proprement parlé de dispositif de pilotage qui aurait fédéré les principales parties prenantes du sous-secteur avec des missions spécifiées qui pourraient consister en particulier à :</w:t>
      </w:r>
    </w:p>
    <w:p w:rsidR="00156302" w:rsidRPr="00A929CE" w:rsidRDefault="00156302" w:rsidP="00BC7FF5">
      <w:pPr>
        <w:spacing w:line="360" w:lineRule="auto"/>
        <w:jc w:val="both"/>
        <w:rPr>
          <w:rFonts w:asciiTheme="minorHAnsi" w:hAnsiTheme="minorHAnsi" w:cs="Tahoma"/>
          <w:sz w:val="24"/>
          <w:szCs w:val="24"/>
        </w:rPr>
      </w:pPr>
    </w:p>
    <w:p w:rsidR="00156302" w:rsidRPr="00A929CE" w:rsidRDefault="00156302" w:rsidP="00112EE9">
      <w:pPr>
        <w:pStyle w:val="Paragraphedeliste"/>
        <w:numPr>
          <w:ilvl w:val="0"/>
          <w:numId w:val="29"/>
        </w:numPr>
        <w:spacing w:line="360" w:lineRule="auto"/>
        <w:jc w:val="both"/>
        <w:rPr>
          <w:rFonts w:asciiTheme="minorHAnsi" w:hAnsiTheme="minorHAnsi" w:cs="Tahoma"/>
          <w:sz w:val="24"/>
          <w:szCs w:val="24"/>
        </w:rPr>
      </w:pPr>
      <w:r w:rsidRPr="00A929CE">
        <w:rPr>
          <w:rFonts w:asciiTheme="minorHAnsi" w:hAnsiTheme="minorHAnsi" w:cs="Tahoma"/>
          <w:sz w:val="24"/>
          <w:szCs w:val="24"/>
        </w:rPr>
        <w:t>Coordonner la mise en œuvre et la planification des actions ;</w:t>
      </w:r>
    </w:p>
    <w:p w:rsidR="00156302" w:rsidRPr="00A929CE" w:rsidRDefault="00156302" w:rsidP="00112EE9">
      <w:pPr>
        <w:pStyle w:val="Paragraphedeliste"/>
        <w:numPr>
          <w:ilvl w:val="0"/>
          <w:numId w:val="29"/>
        </w:numPr>
        <w:spacing w:line="360" w:lineRule="auto"/>
        <w:jc w:val="both"/>
        <w:rPr>
          <w:rFonts w:asciiTheme="minorHAnsi" w:hAnsiTheme="minorHAnsi" w:cs="Tahoma"/>
          <w:sz w:val="24"/>
          <w:szCs w:val="24"/>
        </w:rPr>
      </w:pPr>
      <w:r w:rsidRPr="00A929CE">
        <w:rPr>
          <w:rFonts w:asciiTheme="minorHAnsi" w:hAnsiTheme="minorHAnsi" w:cs="Tahoma"/>
          <w:sz w:val="24"/>
          <w:szCs w:val="24"/>
        </w:rPr>
        <w:t>Apprécier les effets/impacts à travers des évaluations et des rapports de suivi ;</w:t>
      </w:r>
    </w:p>
    <w:p w:rsidR="00156302" w:rsidRPr="00A929CE" w:rsidRDefault="00156302" w:rsidP="00A929CE">
      <w:pPr>
        <w:pStyle w:val="Paragraphedeliste"/>
        <w:numPr>
          <w:ilvl w:val="0"/>
          <w:numId w:val="29"/>
        </w:numPr>
        <w:spacing w:line="360" w:lineRule="auto"/>
        <w:jc w:val="both"/>
        <w:rPr>
          <w:rFonts w:asciiTheme="minorHAnsi" w:hAnsiTheme="minorHAnsi" w:cs="Tahoma"/>
          <w:sz w:val="24"/>
          <w:szCs w:val="24"/>
        </w:rPr>
      </w:pPr>
      <w:r w:rsidRPr="00A929CE">
        <w:rPr>
          <w:rFonts w:asciiTheme="minorHAnsi" w:hAnsiTheme="minorHAnsi" w:cs="Tahoma"/>
          <w:sz w:val="24"/>
          <w:szCs w:val="24"/>
        </w:rPr>
        <w:t>Assurer la mobilisation des ressources financières et servir d’interface avec les partenaires techniques et financiers (PTF).</w:t>
      </w:r>
    </w:p>
    <w:p w:rsidR="00156302" w:rsidRPr="00A929CE" w:rsidRDefault="00156302" w:rsidP="00A929CE">
      <w:pPr>
        <w:spacing w:line="360" w:lineRule="auto"/>
        <w:jc w:val="both"/>
        <w:rPr>
          <w:rFonts w:asciiTheme="minorHAnsi" w:hAnsiTheme="minorHAnsi" w:cs="Tahoma"/>
          <w:bCs/>
          <w:iCs/>
          <w:sz w:val="24"/>
          <w:szCs w:val="24"/>
        </w:rPr>
      </w:pPr>
    </w:p>
    <w:p w:rsidR="00156302" w:rsidRPr="00D863B8" w:rsidRDefault="00156302" w:rsidP="00B8772C">
      <w:pPr>
        <w:spacing w:line="360" w:lineRule="auto"/>
        <w:jc w:val="both"/>
        <w:rPr>
          <w:rFonts w:asciiTheme="minorHAnsi" w:hAnsiTheme="minorHAnsi" w:cs="Tahoma"/>
          <w:bCs/>
          <w:sz w:val="24"/>
          <w:szCs w:val="24"/>
          <w:lang w:eastAsia="en-GB"/>
        </w:rPr>
      </w:pPr>
      <w:r w:rsidRPr="00B8772C">
        <w:rPr>
          <w:rFonts w:asciiTheme="minorHAnsi" w:hAnsiTheme="minorHAnsi" w:cs="Tahoma"/>
          <w:bCs/>
          <w:sz w:val="24"/>
          <w:szCs w:val="24"/>
          <w:lang w:eastAsia="en-GB"/>
        </w:rPr>
        <w:t>Le déficit de pilotage</w:t>
      </w:r>
      <w:r w:rsidRPr="001754BB">
        <w:rPr>
          <w:rFonts w:asciiTheme="minorHAnsi" w:hAnsiTheme="minorHAnsi" w:cs="Tahoma"/>
          <w:color w:val="000000" w:themeColor="text1"/>
          <w:sz w:val="24"/>
          <w:szCs w:val="24"/>
        </w:rPr>
        <w:t xml:space="preserve"> a été aggravé par la faiblesse qualitative des ressources humaines de la DNACPN en termes de pilotage et de suivi-évaluation d’une politique sectorielle ou encore de maîtrise des questions relatives à l’assainissement. S’agissant de ce dernier point, on relève que les soixante-neuf (69) agents que compte la DNACPN ont des profits diversifiés éloignés de l’assainissement en tant que thématique, et n’ayant pas fait l’objet de mesures appropriées de renforcem</w:t>
      </w:r>
      <w:r w:rsidRPr="00BC7FF5">
        <w:rPr>
          <w:rFonts w:asciiTheme="minorHAnsi" w:hAnsiTheme="minorHAnsi" w:cs="Tahoma"/>
          <w:color w:val="000000" w:themeColor="text1"/>
          <w:sz w:val="24"/>
          <w:szCs w:val="24"/>
        </w:rPr>
        <w:t xml:space="preserve">ent des capacités. Ce handicap </w:t>
      </w:r>
      <w:r w:rsidRPr="0022409F">
        <w:rPr>
          <w:rFonts w:asciiTheme="minorHAnsi" w:hAnsiTheme="minorHAnsi" w:cs="Tahoma"/>
          <w:bCs/>
          <w:sz w:val="24"/>
          <w:szCs w:val="24"/>
          <w:lang w:eastAsia="en-GB"/>
        </w:rPr>
        <w:t>a pesé négativement sur la concrétisation de la vision commune de l’assainissement telle qu’elle est définie par la PNA, et qui devrait être partagée par les différents intervenants dans le sous-secteur. Du fait de ce qui pré</w:t>
      </w:r>
      <w:r w:rsidRPr="00112EE9">
        <w:rPr>
          <w:rFonts w:asciiTheme="minorHAnsi" w:hAnsiTheme="minorHAnsi" w:cs="Tahoma"/>
          <w:bCs/>
          <w:sz w:val="24"/>
          <w:szCs w:val="24"/>
          <w:lang w:eastAsia="en-GB"/>
        </w:rPr>
        <w:t xml:space="preserve">cède, les différents acteurs institutionnels se sont arcboutés sur la logique des compétences qui leur sont dévolues par les textes, et </w:t>
      </w:r>
      <w:r w:rsidRPr="00112EE9">
        <w:rPr>
          <w:rFonts w:asciiTheme="minorHAnsi" w:hAnsiTheme="minorHAnsi" w:cs="Tahoma"/>
          <w:sz w:val="24"/>
          <w:szCs w:val="24"/>
          <w:lang w:eastAsia="en-GB"/>
        </w:rPr>
        <w:t>ne ressentent pas leur appartenance à un sous-secteur</w:t>
      </w:r>
      <w:r w:rsidRPr="00112EE9">
        <w:rPr>
          <w:rFonts w:asciiTheme="minorHAnsi" w:hAnsiTheme="minorHAnsi" w:cs="Tahoma"/>
          <w:bCs/>
          <w:sz w:val="24"/>
          <w:szCs w:val="24"/>
          <w:lang w:eastAsia="en-GB"/>
        </w:rPr>
        <w:t>. Ils sont restés cloisonnés, ce qui a contribué à les pousser à en</w:t>
      </w:r>
      <w:r w:rsidRPr="00D863B8">
        <w:rPr>
          <w:rFonts w:asciiTheme="minorHAnsi" w:hAnsiTheme="minorHAnsi" w:cs="Tahoma"/>
          <w:bCs/>
          <w:sz w:val="24"/>
          <w:szCs w:val="24"/>
          <w:lang w:eastAsia="en-GB"/>
        </w:rPr>
        <w:t>tretenir des lignes de clivages qui constituent un frein au passage à l’échelle du sous-secteur.</w:t>
      </w:r>
    </w:p>
    <w:p w:rsidR="00156302" w:rsidRPr="00A929CE" w:rsidRDefault="00156302" w:rsidP="00B8772C">
      <w:pPr>
        <w:spacing w:line="360" w:lineRule="auto"/>
        <w:jc w:val="both"/>
        <w:rPr>
          <w:rFonts w:asciiTheme="minorHAnsi" w:hAnsiTheme="minorHAnsi" w:cs="Tahoma"/>
          <w:bCs/>
          <w:sz w:val="24"/>
          <w:szCs w:val="24"/>
          <w:lang w:eastAsia="en-GB"/>
        </w:rPr>
      </w:pPr>
    </w:p>
    <w:p w:rsidR="00156302" w:rsidRPr="00A929CE" w:rsidRDefault="00156302" w:rsidP="001754BB">
      <w:pPr>
        <w:autoSpaceDE w:val="0"/>
        <w:autoSpaceDN w:val="0"/>
        <w:adjustRightInd w:val="0"/>
        <w:spacing w:line="360" w:lineRule="auto"/>
        <w:jc w:val="both"/>
        <w:rPr>
          <w:rFonts w:asciiTheme="minorHAnsi" w:hAnsiTheme="minorHAnsi" w:cs="Tahoma"/>
          <w:sz w:val="24"/>
          <w:szCs w:val="24"/>
        </w:rPr>
      </w:pPr>
      <w:r w:rsidRPr="00A929CE">
        <w:rPr>
          <w:rFonts w:asciiTheme="minorHAnsi" w:hAnsiTheme="minorHAnsi" w:cs="Tahoma"/>
          <w:sz w:val="24"/>
          <w:szCs w:val="24"/>
        </w:rPr>
        <w:t xml:space="preserve">L’absence d’un dispositif approprié de pilotage a été d’autant plus ressentie que la PNA a été déclinée en cinq (05) stratégies sous sectorielles. Si cette approche peut se justifier par le souci de mieux appréhender les spécificités de chaque catégorie de déchets et de les prendre en charge en conséquence, elle a cependant débouché sur la création de mécanismes d’opérationnalisation dont le fonctionnement est aléatoire faute de moyens disponibles et d’une culture de pilotage d’une politique sectorielle. En effet, chacune des stratégies précitées dispose de mécanismes spécifiques plus ou moins déconnectés du niveau central et qui, faute d’une coordination suffisante, s’apparentent à des structures décentralisées voire « franchisées ». </w:t>
      </w:r>
    </w:p>
    <w:p w:rsidR="00156302" w:rsidRPr="00A929CE" w:rsidRDefault="00156302" w:rsidP="001754BB">
      <w:pPr>
        <w:autoSpaceDE w:val="0"/>
        <w:autoSpaceDN w:val="0"/>
        <w:adjustRightInd w:val="0"/>
        <w:spacing w:line="360" w:lineRule="auto"/>
        <w:jc w:val="both"/>
        <w:rPr>
          <w:rFonts w:asciiTheme="minorHAnsi" w:hAnsiTheme="minorHAnsi" w:cs="Tahoma"/>
          <w:color w:val="231F20"/>
          <w:sz w:val="24"/>
          <w:szCs w:val="24"/>
        </w:rPr>
      </w:pPr>
      <w:r w:rsidRPr="00A929CE">
        <w:rPr>
          <w:rFonts w:asciiTheme="minorHAnsi" w:hAnsiTheme="minorHAnsi" w:cs="Tahoma"/>
          <w:sz w:val="24"/>
          <w:szCs w:val="24"/>
        </w:rPr>
        <w:t>Ainsi, la création de l’Agence Nationale de Gestion des</w:t>
      </w:r>
      <w:r w:rsidRPr="00A929CE">
        <w:rPr>
          <w:rFonts w:asciiTheme="minorHAnsi" w:hAnsiTheme="minorHAnsi" w:cs="Tahoma"/>
          <w:color w:val="231F20"/>
          <w:sz w:val="24"/>
          <w:szCs w:val="24"/>
        </w:rPr>
        <w:t xml:space="preserve"> Stations d’Epuration du Mali (ANGESEM) par l’Ordonnance n°07-015 /P-RM du 28 mars 2007 peut certes être interprétée comme participant de la volonté de mieux prendre en charge la problématique des déchets liquides. Toutefois, le lien des interventions de cette Agence avec la stratégie dont elle est censée assurer le leadership, manque de visibilité tout comme son interaction avec la DNACPN. Relativement à ce dernier point, on note à titre illustratif par exemple, que la DNACPN n’est pas membre du conseil d’administration de l’ANGESEM, ce qui ne permet pas à ladite Direction nationale de jouer son rôle de veille dès la phase de programmation des activités de l’Agence. On se retrouve dans une situation où un organisme de niveau opérationnel (ANGESEM) est complètement affranchi de la structure de niveau stratégique (DNACPN) à laquelle il devrait normalement se référer.</w:t>
      </w:r>
    </w:p>
    <w:p w:rsidR="00156302" w:rsidRPr="00A929CE" w:rsidRDefault="00156302" w:rsidP="001754BB">
      <w:pPr>
        <w:pStyle w:val="Corpsdetexte"/>
        <w:spacing w:line="360" w:lineRule="auto"/>
        <w:rPr>
          <w:rFonts w:asciiTheme="minorHAnsi" w:hAnsiTheme="minorHAnsi" w:cs="Tahoma"/>
          <w:szCs w:val="24"/>
        </w:rPr>
      </w:pPr>
    </w:p>
    <w:p w:rsidR="00156302" w:rsidRPr="00A929CE" w:rsidRDefault="00156302" w:rsidP="00BC7FF5">
      <w:pPr>
        <w:pStyle w:val="Corpsdetexte"/>
        <w:spacing w:line="360" w:lineRule="auto"/>
        <w:rPr>
          <w:rFonts w:asciiTheme="minorHAnsi" w:hAnsiTheme="minorHAnsi" w:cs="Tahoma"/>
          <w:szCs w:val="24"/>
        </w:rPr>
      </w:pPr>
      <w:r w:rsidRPr="00A929CE">
        <w:rPr>
          <w:rFonts w:asciiTheme="minorHAnsi" w:hAnsiTheme="minorHAnsi" w:cs="Tahoma"/>
          <w:szCs w:val="24"/>
        </w:rPr>
        <w:t>Ce type d’incohérence qui met en exergue la problématique du pilotage de la PNA explique aussi, au moins en partie, le faible intérêt porté aux collectivités territoriales alors même que l</w:t>
      </w:r>
      <w:r w:rsidRPr="00A929CE">
        <w:rPr>
          <w:rFonts w:asciiTheme="minorHAnsi" w:hAnsiTheme="minorHAnsi" w:cs="Tahoma"/>
          <w:bCs/>
          <w:iCs/>
          <w:szCs w:val="24"/>
        </w:rPr>
        <w:t>’assainissement en tant que domaine de compétence peut être revendiqué par tous les niveaux de collectivités territoriales.</w:t>
      </w:r>
      <w:r w:rsidRPr="00A929CE">
        <w:rPr>
          <w:rFonts w:asciiTheme="minorHAnsi" w:eastAsia="Calibri" w:hAnsiTheme="minorHAnsi" w:cs="Tahoma"/>
          <w:szCs w:val="24"/>
        </w:rPr>
        <w:t xml:space="preserve"> En effet, bien que l’assainissement ait fait l’objet d’un transfert des compétences aux collectivités territoriales, sa gestion reste fortement centralisée comme l’illustre la gestion des stations d’épuration. Cette activité se développe sans aucune perspective claire de faire intervenir la maîtrise d’ouvrage locale. La mise en œuvre de la stratégie de transfert des compétences devrait en principe permettre la mise en place d’un mécanisme de levée des contraintes institutionnelles, techniques et financières auxquelles sont confrontées les collectivités dans l’exercice de leurs missions sur la base d’un calendrier de mise en œuvre et des mesures de renforcement de capacités.</w:t>
      </w:r>
    </w:p>
    <w:p w:rsidR="00156302" w:rsidRPr="00A929CE" w:rsidRDefault="00156302" w:rsidP="00112EE9">
      <w:pPr>
        <w:autoSpaceDE w:val="0"/>
        <w:autoSpaceDN w:val="0"/>
        <w:adjustRightInd w:val="0"/>
        <w:spacing w:line="360" w:lineRule="auto"/>
        <w:jc w:val="both"/>
        <w:rPr>
          <w:rFonts w:asciiTheme="minorHAnsi" w:hAnsiTheme="minorHAnsi" w:cs="Tahoma"/>
          <w:sz w:val="24"/>
          <w:szCs w:val="24"/>
        </w:rPr>
      </w:pPr>
    </w:p>
    <w:p w:rsidR="00156302" w:rsidRPr="00A929CE" w:rsidRDefault="00156302" w:rsidP="00112EE9">
      <w:pPr>
        <w:autoSpaceDE w:val="0"/>
        <w:autoSpaceDN w:val="0"/>
        <w:adjustRightInd w:val="0"/>
        <w:spacing w:line="360" w:lineRule="auto"/>
        <w:jc w:val="both"/>
        <w:rPr>
          <w:rFonts w:asciiTheme="minorHAnsi" w:hAnsiTheme="minorHAnsi" w:cs="Tahoma"/>
          <w:sz w:val="24"/>
          <w:szCs w:val="24"/>
        </w:rPr>
      </w:pPr>
      <w:r w:rsidRPr="00A929CE">
        <w:rPr>
          <w:rFonts w:asciiTheme="minorHAnsi" w:hAnsiTheme="minorHAnsi" w:cs="Tahoma"/>
          <w:sz w:val="24"/>
          <w:szCs w:val="24"/>
        </w:rPr>
        <w:t>Le document de la stratégie nationale de gestion des déchets liquides a tenté d’être plus exhaustif en matière de pilotage en précisant qu’il « concerne la supervision, l’animation et la coordination de la mise en œuvre de la stratégie nationale ». Il requiert de la part de l’organisme responsable une expertise avérée dans les différents domaines de la gestion des déchets liquides, expérience en matière de gestion de cadre de concertation et de suivi et d’évaluation. Plus loin ce document a indiqué que l’organe de pilotage et de coordination de la stratégie assurera les rôles de :</w:t>
      </w:r>
    </w:p>
    <w:p w:rsidR="00156302" w:rsidRPr="00A929CE" w:rsidRDefault="00156302" w:rsidP="00A929CE">
      <w:pPr>
        <w:pStyle w:val="BodyText"/>
        <w:spacing w:before="0" w:after="0" w:line="360" w:lineRule="auto"/>
        <w:rPr>
          <w:rFonts w:asciiTheme="minorHAnsi" w:hAnsiTheme="minorHAnsi" w:cs="Tahoma"/>
          <w:sz w:val="24"/>
          <w:szCs w:val="24"/>
        </w:rPr>
      </w:pPr>
    </w:p>
    <w:p w:rsidR="00156302" w:rsidRPr="00A929CE" w:rsidRDefault="00156302" w:rsidP="00A929CE">
      <w:pPr>
        <w:pStyle w:val="BodyTextind1"/>
        <w:spacing w:before="0" w:after="0" w:line="360" w:lineRule="auto"/>
        <w:rPr>
          <w:rFonts w:asciiTheme="minorHAnsi" w:hAnsiTheme="minorHAnsi"/>
          <w:sz w:val="24"/>
          <w:szCs w:val="24"/>
        </w:rPr>
      </w:pPr>
      <w:r w:rsidRPr="00A929CE">
        <w:rPr>
          <w:rFonts w:asciiTheme="minorHAnsi" w:hAnsiTheme="minorHAnsi"/>
          <w:sz w:val="24"/>
          <w:szCs w:val="24"/>
        </w:rPr>
        <w:t>Planification globale de la mise en œuvre de la stratégie nationale de gestion des déchets liquides ;</w:t>
      </w:r>
    </w:p>
    <w:p w:rsidR="00156302" w:rsidRPr="00A929CE" w:rsidRDefault="00156302" w:rsidP="00A929CE">
      <w:pPr>
        <w:pStyle w:val="BodyTextind1"/>
        <w:spacing w:before="0" w:after="0" w:line="360" w:lineRule="auto"/>
        <w:rPr>
          <w:rFonts w:asciiTheme="minorHAnsi" w:hAnsiTheme="minorHAnsi"/>
          <w:sz w:val="24"/>
          <w:szCs w:val="24"/>
        </w:rPr>
      </w:pPr>
      <w:r w:rsidRPr="00A929CE">
        <w:rPr>
          <w:rFonts w:asciiTheme="minorHAnsi" w:hAnsiTheme="minorHAnsi"/>
          <w:sz w:val="24"/>
          <w:szCs w:val="24"/>
        </w:rPr>
        <w:t>Appui aux différents départements ministériels et aux collectivités territoriales dans le domaine de leur compétence respective, à planifier, mettre en œuvre, suivre et évaluer les actions en cohérence avec la stratégie nationale de gestion des déchets liquides ;</w:t>
      </w:r>
    </w:p>
    <w:p w:rsidR="00156302" w:rsidRPr="00A929CE" w:rsidRDefault="00156302" w:rsidP="00A929CE">
      <w:pPr>
        <w:pStyle w:val="BodyTextind1"/>
        <w:spacing w:before="0" w:after="0" w:line="360" w:lineRule="auto"/>
        <w:rPr>
          <w:rFonts w:asciiTheme="minorHAnsi" w:hAnsiTheme="minorHAnsi"/>
          <w:sz w:val="24"/>
          <w:szCs w:val="24"/>
        </w:rPr>
      </w:pPr>
      <w:r w:rsidRPr="00A929CE">
        <w:rPr>
          <w:rFonts w:asciiTheme="minorHAnsi" w:hAnsiTheme="minorHAnsi"/>
          <w:sz w:val="24"/>
          <w:szCs w:val="24"/>
        </w:rPr>
        <w:t>Animation du cadre de concertation ;</w:t>
      </w:r>
    </w:p>
    <w:p w:rsidR="00156302" w:rsidRPr="00A929CE" w:rsidRDefault="00156302" w:rsidP="00A929CE">
      <w:pPr>
        <w:pStyle w:val="BodyTextind1"/>
        <w:spacing w:before="0" w:after="0" w:line="360" w:lineRule="auto"/>
        <w:rPr>
          <w:rFonts w:asciiTheme="minorHAnsi" w:hAnsiTheme="minorHAnsi"/>
          <w:sz w:val="24"/>
          <w:szCs w:val="24"/>
        </w:rPr>
      </w:pPr>
      <w:r w:rsidRPr="00A929CE">
        <w:rPr>
          <w:rFonts w:asciiTheme="minorHAnsi" w:hAnsiTheme="minorHAnsi"/>
          <w:sz w:val="24"/>
          <w:szCs w:val="24"/>
        </w:rPr>
        <w:t>Suivi et coordination de la mise en œuvre de la stratégie nationale ;</w:t>
      </w:r>
    </w:p>
    <w:p w:rsidR="00156302" w:rsidRPr="00A929CE" w:rsidRDefault="00156302" w:rsidP="00A929CE">
      <w:pPr>
        <w:pStyle w:val="BodyTextind1"/>
        <w:spacing w:before="0" w:after="0" w:line="360" w:lineRule="auto"/>
        <w:rPr>
          <w:rFonts w:asciiTheme="minorHAnsi" w:hAnsiTheme="minorHAnsi"/>
          <w:sz w:val="24"/>
          <w:szCs w:val="24"/>
        </w:rPr>
      </w:pPr>
      <w:r w:rsidRPr="00A929CE">
        <w:rPr>
          <w:rFonts w:asciiTheme="minorHAnsi" w:hAnsiTheme="minorHAnsi"/>
          <w:sz w:val="24"/>
          <w:szCs w:val="24"/>
        </w:rPr>
        <w:t>Évaluation de la stratégie nationale.</w:t>
      </w:r>
    </w:p>
    <w:p w:rsidR="00156302" w:rsidRPr="00A929CE" w:rsidRDefault="00156302" w:rsidP="00A929CE">
      <w:pPr>
        <w:spacing w:line="360" w:lineRule="auto"/>
        <w:jc w:val="both"/>
        <w:rPr>
          <w:rFonts w:asciiTheme="minorHAnsi" w:hAnsiTheme="minorHAnsi"/>
          <w:sz w:val="24"/>
          <w:szCs w:val="24"/>
        </w:rPr>
      </w:pPr>
    </w:p>
    <w:p w:rsidR="00156302" w:rsidRPr="00A929CE" w:rsidRDefault="00156302" w:rsidP="00A929CE">
      <w:pPr>
        <w:spacing w:line="360" w:lineRule="auto"/>
        <w:jc w:val="both"/>
        <w:rPr>
          <w:rFonts w:asciiTheme="minorHAnsi" w:hAnsiTheme="minorHAnsi"/>
          <w:sz w:val="24"/>
          <w:szCs w:val="24"/>
        </w:rPr>
      </w:pPr>
      <w:r w:rsidRPr="00A929CE">
        <w:rPr>
          <w:rFonts w:asciiTheme="minorHAnsi" w:hAnsiTheme="minorHAnsi"/>
          <w:sz w:val="24"/>
          <w:szCs w:val="24"/>
        </w:rPr>
        <w:t>La composition et les modalités de fonctionnement de cet organe devraient être précisées par un Décret qui n’a finalement pas encore été adopté.</w:t>
      </w:r>
    </w:p>
    <w:p w:rsidR="00156302" w:rsidRPr="00A929CE" w:rsidRDefault="00156302" w:rsidP="00A929CE">
      <w:pPr>
        <w:spacing w:line="360" w:lineRule="auto"/>
        <w:jc w:val="both"/>
        <w:rPr>
          <w:rFonts w:asciiTheme="minorHAnsi" w:hAnsiTheme="minorHAnsi" w:cs="Tahoma"/>
          <w:sz w:val="24"/>
          <w:szCs w:val="24"/>
        </w:rPr>
      </w:pPr>
      <w:r w:rsidRPr="00A929CE">
        <w:rPr>
          <w:rFonts w:asciiTheme="minorHAnsi" w:hAnsiTheme="minorHAnsi"/>
          <w:sz w:val="24"/>
          <w:szCs w:val="24"/>
        </w:rPr>
        <w:t xml:space="preserve">En définitive, l’absence d’un véritable dispositif de mise en œuvre de la PNA a influé négativement sur le pilotage de ce cadre stratégique. </w:t>
      </w:r>
      <w:r w:rsidRPr="00A929CE">
        <w:rPr>
          <w:rFonts w:asciiTheme="minorHAnsi" w:hAnsiTheme="minorHAnsi" w:cs="Tahoma"/>
          <w:sz w:val="24"/>
          <w:szCs w:val="24"/>
        </w:rPr>
        <w:t>Ce faisant, la DNACPN et les autres acteurs majeurs du sous-secteur ont continué à d</w:t>
      </w:r>
      <w:r w:rsidRPr="00A929CE">
        <w:rPr>
          <w:rFonts w:asciiTheme="minorHAnsi" w:eastAsia="Calibri" w:hAnsiTheme="minorHAnsi" w:cs="Tahoma"/>
          <w:sz w:val="24"/>
          <w:szCs w:val="24"/>
        </w:rPr>
        <w:t>évelopp</w:t>
      </w:r>
      <w:r w:rsidRPr="00A929CE">
        <w:rPr>
          <w:rFonts w:asciiTheme="minorHAnsi" w:hAnsiTheme="minorHAnsi" w:cs="Tahoma"/>
          <w:sz w:val="24"/>
          <w:szCs w:val="24"/>
        </w:rPr>
        <w:t>er des actions disparates dont l</w:t>
      </w:r>
      <w:r w:rsidRPr="00A929CE">
        <w:rPr>
          <w:rFonts w:asciiTheme="minorHAnsi" w:eastAsia="Calibri" w:hAnsiTheme="minorHAnsi" w:cs="Tahoma"/>
          <w:sz w:val="24"/>
          <w:szCs w:val="24"/>
        </w:rPr>
        <w:t xml:space="preserve">’impact limité </w:t>
      </w:r>
      <w:r w:rsidRPr="00A929CE">
        <w:rPr>
          <w:rFonts w:asciiTheme="minorHAnsi" w:hAnsiTheme="minorHAnsi" w:cs="Tahoma"/>
          <w:sz w:val="24"/>
          <w:szCs w:val="24"/>
        </w:rPr>
        <w:t>a donné un effet de grossissement au déficit d’opérationnalisation de la vision commune incarnée par la PNA.</w:t>
      </w:r>
    </w:p>
    <w:p w:rsidR="00156302" w:rsidRPr="00A929CE" w:rsidRDefault="00156302" w:rsidP="00A929CE">
      <w:pPr>
        <w:pStyle w:val="Titre3"/>
        <w:spacing w:line="360" w:lineRule="auto"/>
        <w:jc w:val="both"/>
        <w:rPr>
          <w:rFonts w:asciiTheme="minorHAnsi" w:hAnsiTheme="minorHAnsi"/>
          <w:sz w:val="24"/>
          <w:szCs w:val="24"/>
        </w:rPr>
      </w:pPr>
      <w:bookmarkStart w:id="62" w:name="_Toc536448600"/>
      <w:r w:rsidRPr="00A929CE">
        <w:rPr>
          <w:rFonts w:asciiTheme="minorHAnsi" w:hAnsiTheme="minorHAnsi"/>
          <w:sz w:val="24"/>
          <w:szCs w:val="24"/>
        </w:rPr>
        <w:t>Appréciation du niveau de mise en œuvre du cadre juridique</w:t>
      </w:r>
      <w:bookmarkEnd w:id="62"/>
      <w:r w:rsidRPr="00A929CE">
        <w:rPr>
          <w:rFonts w:asciiTheme="minorHAnsi" w:hAnsiTheme="minorHAnsi"/>
          <w:sz w:val="24"/>
          <w:szCs w:val="24"/>
        </w:rPr>
        <w:t> </w:t>
      </w:r>
    </w:p>
    <w:p w:rsidR="00156302" w:rsidRPr="00A929CE" w:rsidRDefault="00156302" w:rsidP="00A929CE">
      <w:pPr>
        <w:pStyle w:val="BodyText"/>
        <w:spacing w:line="360" w:lineRule="auto"/>
        <w:rPr>
          <w:rStyle w:val="lev"/>
          <w:rFonts w:asciiTheme="minorHAnsi" w:hAnsiTheme="minorHAnsi"/>
          <w:sz w:val="24"/>
          <w:szCs w:val="24"/>
          <w:u w:val="single"/>
        </w:rPr>
      </w:pPr>
      <w:r w:rsidRPr="00A929CE">
        <w:rPr>
          <w:rStyle w:val="lev"/>
          <w:rFonts w:asciiTheme="minorHAnsi" w:hAnsiTheme="minorHAnsi"/>
          <w:sz w:val="24"/>
          <w:szCs w:val="24"/>
          <w:u w:val="single"/>
        </w:rPr>
        <w:t>Un cadre juridique épars en proie à de nombreuses incohérences :</w:t>
      </w:r>
    </w:p>
    <w:p w:rsidR="00156302" w:rsidRPr="00A929CE" w:rsidRDefault="00156302" w:rsidP="00A929CE">
      <w:pPr>
        <w:spacing w:line="360" w:lineRule="auto"/>
        <w:jc w:val="both"/>
        <w:rPr>
          <w:rFonts w:asciiTheme="minorHAnsi" w:hAnsiTheme="minorHAnsi" w:cs="Tahoma"/>
          <w:sz w:val="24"/>
          <w:szCs w:val="24"/>
        </w:rPr>
      </w:pPr>
      <w:r w:rsidRPr="00A929CE">
        <w:rPr>
          <w:rFonts w:asciiTheme="minorHAnsi" w:hAnsiTheme="minorHAnsi" w:cs="Tahoma"/>
          <w:color w:val="000000"/>
          <w:sz w:val="24"/>
          <w:szCs w:val="24"/>
        </w:rPr>
        <w:t xml:space="preserve">De nombreux textes législatifs et réglementaires ont été adoptés en vue </w:t>
      </w:r>
      <w:r w:rsidRPr="00A929CE">
        <w:rPr>
          <w:rFonts w:asciiTheme="minorHAnsi" w:hAnsiTheme="minorHAnsi" w:cs="Tahoma"/>
          <w:sz w:val="24"/>
          <w:szCs w:val="24"/>
        </w:rPr>
        <w:t>de prendre en charge les questions relatives à l’assainissement. Ces textes qui posent le principe de la responsabilité des diverses parties prenantes sont contenus notamment dans le Code d’hygiène publique, la loi sur les pollutions et nuisances, le Code de l’eau, les lois et règlements relatifs à la protection de l’environnement, le Code général des collectivités territoriales, les lois et règlements portant sur l’aménagement de l’espace urbain, etc. En définitive, les textes se rapportant à l’assainissement sont éparpillés. Certains de ces textes sont à certains égards dépassés et ont besoin d’être actualisés pour mieux prendre en compte certains défis. C’est le cas en particulier de la loi sur les pollutions et nuisances ou encore le Code d’hygiène publique.</w:t>
      </w:r>
    </w:p>
    <w:p w:rsidR="00156302" w:rsidRPr="00A929CE" w:rsidRDefault="00156302" w:rsidP="00A929CE">
      <w:pPr>
        <w:spacing w:line="360" w:lineRule="auto"/>
        <w:jc w:val="both"/>
        <w:rPr>
          <w:rFonts w:asciiTheme="minorHAnsi" w:hAnsiTheme="minorHAnsi" w:cs="Tahoma"/>
          <w:sz w:val="24"/>
          <w:szCs w:val="24"/>
        </w:rPr>
      </w:pPr>
      <w:r w:rsidRPr="00A929CE">
        <w:rPr>
          <w:rFonts w:asciiTheme="minorHAnsi" w:hAnsiTheme="minorHAnsi" w:cs="Tahoma"/>
          <w:sz w:val="24"/>
          <w:szCs w:val="24"/>
        </w:rPr>
        <w:t>L’émiettement qui caractérise la règlementation relative à l’assainissement est au moins en partie, la conséquence du foisonnement institutionnel lequel donne à la gestion du sous-secteur l’aspect d’un véritable puzzle au sein duquel cohabitent diverses structures ayant des attributions souvent concurrentes.</w:t>
      </w:r>
    </w:p>
    <w:p w:rsidR="00156302" w:rsidRPr="00A929CE" w:rsidRDefault="00156302" w:rsidP="00A929CE">
      <w:pPr>
        <w:autoSpaceDE w:val="0"/>
        <w:autoSpaceDN w:val="0"/>
        <w:adjustRightInd w:val="0"/>
        <w:spacing w:line="360" w:lineRule="auto"/>
        <w:jc w:val="both"/>
        <w:rPr>
          <w:rFonts w:asciiTheme="minorHAnsi" w:hAnsiTheme="minorHAnsi" w:cs="Tahoma"/>
          <w:sz w:val="24"/>
          <w:szCs w:val="24"/>
        </w:rPr>
      </w:pPr>
      <w:r w:rsidRPr="00A929CE">
        <w:rPr>
          <w:rFonts w:asciiTheme="minorHAnsi" w:hAnsiTheme="minorHAnsi" w:cs="Tahoma"/>
          <w:sz w:val="24"/>
          <w:szCs w:val="24"/>
        </w:rPr>
        <w:t>Une illustration de ce chevauchement des compétences nous est fourni par l’ordonnance N°07-015 /P-RM du 28 mars 2007 portant création de l’Agence nationale de gestion des stations d’épuration du Mali. Celle-ci est un établissement public national à caractère administratif doté de la personnalité morale et de l’autonomie financière ayant pour mission d’assurer la gestion durable des stations d’épuration des eaux usées et ouvrages annexes.</w:t>
      </w:r>
    </w:p>
    <w:p w:rsidR="00156302" w:rsidRPr="00A929CE" w:rsidRDefault="00156302" w:rsidP="00A929CE">
      <w:pPr>
        <w:autoSpaceDE w:val="0"/>
        <w:autoSpaceDN w:val="0"/>
        <w:adjustRightInd w:val="0"/>
        <w:spacing w:line="360" w:lineRule="auto"/>
        <w:jc w:val="both"/>
        <w:rPr>
          <w:rFonts w:asciiTheme="minorHAnsi" w:hAnsiTheme="minorHAnsi" w:cs="Tahoma"/>
          <w:sz w:val="24"/>
          <w:szCs w:val="24"/>
        </w:rPr>
      </w:pPr>
    </w:p>
    <w:p w:rsidR="00156302" w:rsidRPr="00A929CE" w:rsidRDefault="00156302" w:rsidP="00A929CE">
      <w:pPr>
        <w:autoSpaceDE w:val="0"/>
        <w:autoSpaceDN w:val="0"/>
        <w:adjustRightInd w:val="0"/>
        <w:spacing w:line="360" w:lineRule="auto"/>
        <w:jc w:val="both"/>
        <w:rPr>
          <w:rFonts w:asciiTheme="minorHAnsi" w:hAnsiTheme="minorHAnsi" w:cs="Tahoma"/>
          <w:sz w:val="24"/>
          <w:szCs w:val="24"/>
        </w:rPr>
      </w:pPr>
      <w:r w:rsidRPr="00A929CE">
        <w:rPr>
          <w:rFonts w:asciiTheme="minorHAnsi" w:hAnsiTheme="minorHAnsi" w:cs="Tahoma"/>
          <w:sz w:val="24"/>
          <w:szCs w:val="24"/>
        </w:rPr>
        <w:t>Plus spécifiquement l’ANGESEM est chargée de :</w:t>
      </w:r>
    </w:p>
    <w:p w:rsidR="00156302" w:rsidRPr="00A929CE" w:rsidRDefault="00156302" w:rsidP="00A929CE">
      <w:pPr>
        <w:pStyle w:val="Paragraphedeliste"/>
        <w:numPr>
          <w:ilvl w:val="0"/>
          <w:numId w:val="35"/>
        </w:numPr>
        <w:autoSpaceDE w:val="0"/>
        <w:autoSpaceDN w:val="0"/>
        <w:adjustRightInd w:val="0"/>
        <w:spacing w:line="360" w:lineRule="auto"/>
        <w:contextualSpacing w:val="0"/>
        <w:jc w:val="both"/>
        <w:rPr>
          <w:rFonts w:asciiTheme="minorHAnsi" w:hAnsiTheme="minorHAnsi" w:cs="Tahoma"/>
          <w:sz w:val="24"/>
          <w:szCs w:val="24"/>
        </w:rPr>
      </w:pPr>
      <w:r w:rsidRPr="00A929CE">
        <w:rPr>
          <w:rFonts w:asciiTheme="minorHAnsi" w:hAnsiTheme="minorHAnsi" w:cs="Tahoma"/>
          <w:sz w:val="24"/>
          <w:szCs w:val="24"/>
        </w:rPr>
        <w:t>Promouvoir et veiller à la gestion des ouvrages d’assainissement suivant les normes établies en la matière ;</w:t>
      </w:r>
    </w:p>
    <w:p w:rsidR="00156302" w:rsidRPr="00A929CE" w:rsidRDefault="00156302" w:rsidP="00A929CE">
      <w:pPr>
        <w:pStyle w:val="Paragraphedeliste"/>
        <w:numPr>
          <w:ilvl w:val="0"/>
          <w:numId w:val="35"/>
        </w:numPr>
        <w:autoSpaceDE w:val="0"/>
        <w:autoSpaceDN w:val="0"/>
        <w:adjustRightInd w:val="0"/>
        <w:spacing w:line="360" w:lineRule="auto"/>
        <w:contextualSpacing w:val="0"/>
        <w:jc w:val="both"/>
        <w:rPr>
          <w:rFonts w:asciiTheme="minorHAnsi" w:hAnsiTheme="minorHAnsi" w:cs="Tahoma"/>
          <w:sz w:val="24"/>
          <w:szCs w:val="24"/>
        </w:rPr>
      </w:pPr>
      <w:r w:rsidRPr="00A929CE">
        <w:rPr>
          <w:rFonts w:asciiTheme="minorHAnsi" w:hAnsiTheme="minorHAnsi" w:cs="Tahoma"/>
          <w:sz w:val="24"/>
          <w:szCs w:val="24"/>
        </w:rPr>
        <w:t>Identifier, organiser et renforcer les capacités d’études, de réalisation des infrastructures d’assainissement ;</w:t>
      </w:r>
    </w:p>
    <w:p w:rsidR="00156302" w:rsidRPr="00A929CE" w:rsidRDefault="00156302" w:rsidP="00A929CE">
      <w:pPr>
        <w:pStyle w:val="Paragraphedeliste"/>
        <w:numPr>
          <w:ilvl w:val="0"/>
          <w:numId w:val="35"/>
        </w:numPr>
        <w:autoSpaceDE w:val="0"/>
        <w:autoSpaceDN w:val="0"/>
        <w:adjustRightInd w:val="0"/>
        <w:spacing w:line="360" w:lineRule="auto"/>
        <w:contextualSpacing w:val="0"/>
        <w:jc w:val="both"/>
        <w:rPr>
          <w:rFonts w:asciiTheme="minorHAnsi" w:hAnsiTheme="minorHAnsi" w:cs="Tahoma"/>
          <w:sz w:val="24"/>
          <w:szCs w:val="24"/>
        </w:rPr>
      </w:pPr>
      <w:r w:rsidRPr="00A929CE">
        <w:rPr>
          <w:rFonts w:asciiTheme="minorHAnsi" w:hAnsiTheme="minorHAnsi" w:cs="Tahoma"/>
          <w:sz w:val="24"/>
          <w:szCs w:val="24"/>
        </w:rPr>
        <w:t>Concevoir, coordonner, suivre et contrôler la réalisation, l’installation ou la réhabilitation des ouvrages et équipements ;</w:t>
      </w:r>
    </w:p>
    <w:p w:rsidR="00156302" w:rsidRPr="00A929CE" w:rsidRDefault="00156302" w:rsidP="00A929CE">
      <w:pPr>
        <w:pStyle w:val="Paragraphedeliste"/>
        <w:numPr>
          <w:ilvl w:val="0"/>
          <w:numId w:val="35"/>
        </w:numPr>
        <w:autoSpaceDE w:val="0"/>
        <w:autoSpaceDN w:val="0"/>
        <w:adjustRightInd w:val="0"/>
        <w:spacing w:line="360" w:lineRule="auto"/>
        <w:contextualSpacing w:val="0"/>
        <w:jc w:val="both"/>
        <w:rPr>
          <w:rFonts w:asciiTheme="minorHAnsi" w:hAnsiTheme="minorHAnsi" w:cs="Tahoma"/>
          <w:sz w:val="24"/>
          <w:szCs w:val="24"/>
        </w:rPr>
      </w:pPr>
      <w:r w:rsidRPr="00A929CE">
        <w:rPr>
          <w:rFonts w:asciiTheme="minorHAnsi" w:hAnsiTheme="minorHAnsi" w:cs="Tahoma"/>
          <w:sz w:val="24"/>
          <w:szCs w:val="24"/>
        </w:rPr>
        <w:t>Contribuer au transfert de la maîtrise d’ouvrage de l’Etat aux Collectivités Territoriales.</w:t>
      </w:r>
    </w:p>
    <w:p w:rsidR="00156302" w:rsidRPr="00A929CE" w:rsidRDefault="00156302" w:rsidP="00A929CE">
      <w:pPr>
        <w:spacing w:line="360" w:lineRule="auto"/>
        <w:jc w:val="both"/>
        <w:rPr>
          <w:rFonts w:asciiTheme="minorHAnsi" w:hAnsiTheme="minorHAnsi" w:cs="Tahoma"/>
          <w:sz w:val="24"/>
          <w:szCs w:val="24"/>
        </w:rPr>
      </w:pPr>
      <w:r w:rsidRPr="00A929CE">
        <w:rPr>
          <w:rFonts w:asciiTheme="minorHAnsi" w:hAnsiTheme="minorHAnsi" w:cs="Tahoma"/>
          <w:sz w:val="24"/>
          <w:szCs w:val="24"/>
        </w:rPr>
        <w:t>Au vue de ce qui précède, il y a double-emploi entre d’une part les attributions conférées à l’ANGESEM pour identifier les besoins en matière de traitement des eaux usées et d’accompagnement à la maîtrise d’ouvrage locale dans ledit domaine, et d’autre part les compétences reconnues à la Division Etudes et Planification de la DNACPN pour mener des études et fournir un appui aux collectivités territoriales en matière d’assainissement et du contrôle des pollutions et des nuisances. On se retrouve ainsi en présence d’une contradiction entre les textes régissant un organisme d’un niveau opérationnel à savoir l’ANGESEM, et une structure d’un niveau stratégique en l’occurrence la DNACPN.</w:t>
      </w:r>
    </w:p>
    <w:p w:rsidR="00156302" w:rsidRPr="008208BF" w:rsidRDefault="00156302" w:rsidP="008208BF">
      <w:pPr>
        <w:autoSpaceDE w:val="0"/>
        <w:autoSpaceDN w:val="0"/>
        <w:adjustRightInd w:val="0"/>
        <w:spacing w:line="360" w:lineRule="auto"/>
        <w:jc w:val="both"/>
        <w:rPr>
          <w:rFonts w:asciiTheme="minorHAnsi" w:hAnsiTheme="minorHAnsi" w:cs="Tahoma"/>
          <w:sz w:val="24"/>
          <w:szCs w:val="24"/>
        </w:rPr>
      </w:pPr>
      <w:r w:rsidRPr="008208BF">
        <w:rPr>
          <w:rFonts w:asciiTheme="minorHAnsi" w:hAnsiTheme="minorHAnsi" w:cs="Tahoma"/>
          <w:sz w:val="24"/>
          <w:szCs w:val="24"/>
        </w:rPr>
        <w:t>De même, il y a télescopage entre les dispositions de :</w:t>
      </w:r>
    </w:p>
    <w:p w:rsidR="00156302" w:rsidRPr="008208BF" w:rsidRDefault="00156302" w:rsidP="008208BF">
      <w:pPr>
        <w:pStyle w:val="Paragraphedeliste"/>
        <w:numPr>
          <w:ilvl w:val="0"/>
          <w:numId w:val="72"/>
        </w:numPr>
        <w:autoSpaceDE w:val="0"/>
        <w:autoSpaceDN w:val="0"/>
        <w:adjustRightInd w:val="0"/>
        <w:spacing w:line="360" w:lineRule="auto"/>
        <w:jc w:val="both"/>
        <w:rPr>
          <w:rFonts w:asciiTheme="minorHAnsi" w:hAnsiTheme="minorHAnsi" w:cs="Tahoma"/>
          <w:sz w:val="24"/>
          <w:szCs w:val="24"/>
        </w:rPr>
      </w:pPr>
      <w:r w:rsidRPr="008208BF">
        <w:rPr>
          <w:rFonts w:asciiTheme="minorHAnsi" w:hAnsiTheme="minorHAnsi" w:cs="Tahoma"/>
          <w:sz w:val="24"/>
          <w:szCs w:val="24"/>
        </w:rPr>
        <w:t>La loi n°02-006 du 31 janvier 2002 portant Code de l’eau dont l’article 55 prévoit la perception de redevances sur les préleveurs et pollueurs pour alimenter le Fonds de développement de l’eau ;</w:t>
      </w:r>
    </w:p>
    <w:p w:rsidR="00156302" w:rsidRPr="008208BF" w:rsidRDefault="00156302" w:rsidP="008208BF">
      <w:pPr>
        <w:pStyle w:val="Paragraphedeliste"/>
        <w:numPr>
          <w:ilvl w:val="0"/>
          <w:numId w:val="72"/>
        </w:numPr>
        <w:autoSpaceDE w:val="0"/>
        <w:autoSpaceDN w:val="0"/>
        <w:adjustRightInd w:val="0"/>
        <w:spacing w:line="360" w:lineRule="auto"/>
        <w:jc w:val="both"/>
        <w:rPr>
          <w:rFonts w:asciiTheme="minorHAnsi" w:hAnsiTheme="minorHAnsi" w:cs="Tahoma"/>
          <w:sz w:val="24"/>
          <w:szCs w:val="24"/>
        </w:rPr>
      </w:pPr>
      <w:r w:rsidRPr="008208BF">
        <w:rPr>
          <w:rFonts w:asciiTheme="minorHAnsi" w:hAnsiTheme="minorHAnsi" w:cs="Tahoma"/>
          <w:sz w:val="24"/>
          <w:szCs w:val="24"/>
        </w:rPr>
        <w:t>L’ordonnance n°02-049/P-RM du 29 mars 2002 portant création de l’Agence du bassin du fleuve Niger (ABFN) et dont les ressources sont constituées en parties par les redevances de prélèvement et de pollution de l’eau du fleuve ;</w:t>
      </w:r>
    </w:p>
    <w:p w:rsidR="00156302" w:rsidRPr="008208BF" w:rsidRDefault="00156302" w:rsidP="008208BF">
      <w:pPr>
        <w:pStyle w:val="Paragraphedeliste"/>
        <w:numPr>
          <w:ilvl w:val="0"/>
          <w:numId w:val="72"/>
        </w:numPr>
        <w:autoSpaceDE w:val="0"/>
        <w:autoSpaceDN w:val="0"/>
        <w:adjustRightInd w:val="0"/>
        <w:spacing w:line="360" w:lineRule="auto"/>
        <w:jc w:val="both"/>
        <w:rPr>
          <w:rFonts w:asciiTheme="minorHAnsi" w:hAnsiTheme="minorHAnsi" w:cs="Tahoma"/>
          <w:sz w:val="24"/>
          <w:szCs w:val="24"/>
        </w:rPr>
      </w:pPr>
      <w:r w:rsidRPr="008208BF">
        <w:rPr>
          <w:rFonts w:asciiTheme="minorHAnsi" w:hAnsiTheme="minorHAnsi" w:cs="Tahoma"/>
          <w:sz w:val="24"/>
          <w:szCs w:val="24"/>
        </w:rPr>
        <w:t>L’ordonnance n°07-015/P-RM du 28 mars 2007 portant création de l’Agence nationale de gestion des stations d’épuration du Mali laquelle perçoit auprès des usagers raccordés à un réseau d’égouts, des redevances qui ont pour assiette le mètre cube d’eau consommée.</w:t>
      </w:r>
    </w:p>
    <w:p w:rsidR="00156302" w:rsidRPr="008F4F25" w:rsidRDefault="00156302" w:rsidP="00A929CE">
      <w:pPr>
        <w:pStyle w:val="BodyText"/>
        <w:spacing w:before="0" w:after="0" w:line="360" w:lineRule="auto"/>
        <w:rPr>
          <w:rFonts w:asciiTheme="minorHAnsi" w:hAnsiTheme="minorHAnsi"/>
          <w:color w:val="FF0000"/>
          <w:sz w:val="24"/>
          <w:szCs w:val="24"/>
        </w:rPr>
      </w:pPr>
      <w:r w:rsidRPr="00A929CE">
        <w:rPr>
          <w:rFonts w:asciiTheme="minorHAnsi" w:hAnsiTheme="minorHAnsi"/>
          <w:sz w:val="24"/>
          <w:szCs w:val="24"/>
        </w:rPr>
        <w:t>On constate que chacun des textes précités a institué des redevances dont les cibles sont susceptibles d’être les mêmes faute d’une mise en cohérence. En effet, l’application de ces textes peut conduire à des situations où un même usager peut être facilement assujetti à ces trois redevances simultanément. Cette situation qui est la conséquence de l’absence d’une réflexion intégrée se rapportant aux redevances a considérablement réduit l’efficacité de celle-ci au point de la rendre inopérante à certains égards.</w:t>
      </w:r>
      <w:r w:rsidR="008F4F25">
        <w:rPr>
          <w:rFonts w:asciiTheme="minorHAnsi" w:hAnsiTheme="minorHAnsi"/>
          <w:sz w:val="24"/>
          <w:szCs w:val="24"/>
        </w:rPr>
        <w:t xml:space="preserve"> </w:t>
      </w:r>
      <w:r w:rsidR="008F4F25">
        <w:rPr>
          <w:rFonts w:asciiTheme="minorHAnsi" w:hAnsiTheme="minorHAnsi"/>
          <w:color w:val="FF0000"/>
          <w:sz w:val="24"/>
          <w:szCs w:val="24"/>
        </w:rPr>
        <w:t>Des concertations continuent cependant d’être organisées en vue de trouver des solutions adaptées à cette préoccupation.</w:t>
      </w:r>
    </w:p>
    <w:p w:rsidR="00156302" w:rsidRPr="00A929CE" w:rsidRDefault="00156302" w:rsidP="00A929CE">
      <w:pPr>
        <w:pStyle w:val="BodyText"/>
        <w:spacing w:before="0" w:after="0" w:line="360" w:lineRule="auto"/>
        <w:rPr>
          <w:rFonts w:asciiTheme="minorHAnsi" w:hAnsiTheme="minorHAnsi"/>
          <w:sz w:val="24"/>
          <w:szCs w:val="24"/>
        </w:rPr>
      </w:pPr>
      <w:r w:rsidRPr="00A929CE">
        <w:rPr>
          <w:rFonts w:asciiTheme="minorHAnsi" w:hAnsiTheme="minorHAnsi"/>
          <w:sz w:val="24"/>
          <w:szCs w:val="24"/>
        </w:rPr>
        <w:t xml:space="preserve">Il y a également </w:t>
      </w:r>
      <w:r w:rsidR="00FE6E51">
        <w:rPr>
          <w:rFonts w:asciiTheme="minorHAnsi" w:hAnsiTheme="minorHAnsi"/>
          <w:color w:val="FF0000"/>
          <w:sz w:val="24"/>
          <w:szCs w:val="24"/>
        </w:rPr>
        <w:t xml:space="preserve">un risque de </w:t>
      </w:r>
      <w:r w:rsidRPr="00A929CE">
        <w:rPr>
          <w:rFonts w:asciiTheme="minorHAnsi" w:hAnsiTheme="minorHAnsi"/>
          <w:sz w:val="24"/>
          <w:szCs w:val="24"/>
        </w:rPr>
        <w:t xml:space="preserve">conflit des compétences entre la DNACPN et l’ABFN laquelle revendique </w:t>
      </w:r>
      <w:r w:rsidR="00FE6E51">
        <w:rPr>
          <w:rFonts w:asciiTheme="minorHAnsi" w:hAnsiTheme="minorHAnsi"/>
          <w:color w:val="FF0000"/>
          <w:sz w:val="24"/>
          <w:szCs w:val="24"/>
        </w:rPr>
        <w:t xml:space="preserve">des prérogatives en matière de </w:t>
      </w:r>
      <w:r w:rsidRPr="00FE6E51">
        <w:rPr>
          <w:rFonts w:asciiTheme="minorHAnsi" w:hAnsiTheme="minorHAnsi"/>
          <w:color w:val="FF0000"/>
          <w:sz w:val="24"/>
          <w:szCs w:val="24"/>
        </w:rPr>
        <w:t>lutte</w:t>
      </w:r>
      <w:r w:rsidRPr="00A929CE">
        <w:rPr>
          <w:rFonts w:asciiTheme="minorHAnsi" w:hAnsiTheme="minorHAnsi"/>
          <w:sz w:val="24"/>
          <w:szCs w:val="24"/>
        </w:rPr>
        <w:t xml:space="preserve"> </w:t>
      </w:r>
      <w:r w:rsidRPr="00FE6E51">
        <w:rPr>
          <w:rFonts w:asciiTheme="minorHAnsi" w:hAnsiTheme="minorHAnsi"/>
          <w:color w:val="FF0000"/>
          <w:sz w:val="24"/>
          <w:szCs w:val="24"/>
        </w:rPr>
        <w:t>contre les pollutions et nuisances</w:t>
      </w:r>
      <w:r w:rsidR="00FE6E51" w:rsidRPr="00FE6E51">
        <w:rPr>
          <w:rFonts w:asciiTheme="minorHAnsi" w:hAnsiTheme="minorHAnsi"/>
          <w:color w:val="FF0000"/>
          <w:sz w:val="24"/>
          <w:szCs w:val="24"/>
        </w:rPr>
        <w:t xml:space="preserve"> conformément aux dispositions de l</w:t>
      </w:r>
      <w:r w:rsidR="00FE6E51">
        <w:rPr>
          <w:rFonts w:asciiTheme="minorHAnsi" w:hAnsiTheme="minorHAnsi"/>
          <w:color w:val="FF0000"/>
          <w:sz w:val="24"/>
          <w:szCs w:val="24"/>
        </w:rPr>
        <w:t>’article 2 alinéa 7 de l’ordonnance n°02-049/P-RM du 29 mars 2002 portant création de ladite agence.</w:t>
      </w:r>
    </w:p>
    <w:p w:rsidR="00156302" w:rsidRPr="00A70C90" w:rsidRDefault="00156302" w:rsidP="00A70C90">
      <w:pPr>
        <w:pStyle w:val="BodyText"/>
        <w:spacing w:line="360" w:lineRule="auto"/>
        <w:rPr>
          <w:rStyle w:val="lev"/>
          <w:rFonts w:asciiTheme="minorHAnsi" w:hAnsiTheme="minorHAnsi"/>
          <w:sz w:val="24"/>
          <w:szCs w:val="24"/>
          <w:u w:val="single"/>
        </w:rPr>
      </w:pPr>
      <w:r w:rsidRPr="00A70C90">
        <w:rPr>
          <w:rStyle w:val="lev"/>
          <w:rFonts w:asciiTheme="minorHAnsi" w:hAnsiTheme="minorHAnsi"/>
          <w:sz w:val="24"/>
          <w:szCs w:val="24"/>
          <w:u w:val="single"/>
        </w:rPr>
        <w:t>Un cadre juridique peu effectif :</w:t>
      </w:r>
    </w:p>
    <w:p w:rsidR="00156302" w:rsidRPr="00A929CE" w:rsidRDefault="00156302" w:rsidP="00A929CE">
      <w:pPr>
        <w:pStyle w:val="Corpsdetexte"/>
        <w:spacing w:line="360" w:lineRule="auto"/>
        <w:rPr>
          <w:rFonts w:asciiTheme="minorHAnsi" w:hAnsiTheme="minorHAnsi" w:cs="Tahoma"/>
          <w:szCs w:val="24"/>
        </w:rPr>
      </w:pPr>
      <w:r w:rsidRPr="00A929CE">
        <w:rPr>
          <w:rFonts w:asciiTheme="minorHAnsi" w:hAnsiTheme="minorHAnsi" w:cs="Tahoma"/>
          <w:szCs w:val="24"/>
        </w:rPr>
        <w:t>L’effectivité de la réforme incarnée par la PNA dépend largement de la mise en œuvre du corpus juridique qui l’encadre. Or, l’inflation législative et réglementaire qui caractérise le sous-secteur de l’assainissement a engendré une situation d’incertitude aggravée par les contradictions qui caractérisent certains textes sur plusieurs points. Cette situation a constitué un obstacle à l’effectivité des textes comme c’est le cas de la redevance prévue au titre du Code de l’eau, et de celle instituée au profit de l’ABFN.</w:t>
      </w:r>
    </w:p>
    <w:p w:rsidR="00156302" w:rsidRPr="00A929CE" w:rsidRDefault="00156302" w:rsidP="00A929CE">
      <w:pPr>
        <w:spacing w:line="360" w:lineRule="auto"/>
        <w:jc w:val="both"/>
        <w:rPr>
          <w:rFonts w:asciiTheme="minorHAnsi" w:hAnsiTheme="minorHAnsi" w:cs="Tahoma"/>
          <w:sz w:val="24"/>
          <w:szCs w:val="24"/>
        </w:rPr>
      </w:pPr>
      <w:r w:rsidRPr="00A929CE">
        <w:rPr>
          <w:rFonts w:asciiTheme="minorHAnsi" w:hAnsiTheme="minorHAnsi" w:cs="Tahoma"/>
          <w:sz w:val="24"/>
          <w:szCs w:val="24"/>
        </w:rPr>
        <w:t>Dans certains cas, la non effectivité des textes est la conséquence de la non opérationnalisation des contrôles et des sanctions qui y sont attachées. En effet, l’</w:t>
      </w:r>
      <w:r w:rsidRPr="00A929CE">
        <w:rPr>
          <w:rFonts w:asciiTheme="minorHAnsi" w:eastAsia="Calibri" w:hAnsiTheme="minorHAnsi" w:cs="Tahoma"/>
          <w:sz w:val="24"/>
          <w:szCs w:val="24"/>
        </w:rPr>
        <w:t>exercice des fonctions de</w:t>
      </w:r>
      <w:r w:rsidRPr="00A929CE">
        <w:rPr>
          <w:rFonts w:asciiTheme="minorHAnsi" w:hAnsiTheme="minorHAnsi" w:cs="Tahoma"/>
          <w:sz w:val="24"/>
          <w:szCs w:val="24"/>
        </w:rPr>
        <w:t xml:space="preserve"> promotion de l’assainissement implique nécessairement l’organisation des contrôles et l’application des sanctions administratives et pénales édictées en cas de manquement. La mise en œuvre de ces mesures s’est révélée marginale ce qui s’est répercuté sur le respect du corpus juridique par ceux qui en sont assujettis. Ainsi, en matière de production et d’aménagement de l’espace urbain la non opérationnalisation des mesures de contrôle a engendré une certaine tolérance administrative qui est à l’origine des lotissements et des morcellements anarchiques. Du fait de ce qui précède, les espaces destinés à accueillir des décharges communales ont été morcelés et affectés à d’autres utilisations. En outre, du fait de la rareté d’espaces publics qui s’en est suivie, il est difficile dans de nombreuses municipalités de disposer des sites pouvant abriter des installations de traitement des eaux usées.</w:t>
      </w:r>
    </w:p>
    <w:p w:rsidR="00156302" w:rsidRPr="00A929CE" w:rsidRDefault="00156302" w:rsidP="00A929CE">
      <w:pPr>
        <w:spacing w:line="360" w:lineRule="auto"/>
        <w:jc w:val="both"/>
        <w:rPr>
          <w:rFonts w:asciiTheme="minorHAnsi" w:hAnsiTheme="minorHAnsi" w:cs="Tahoma"/>
          <w:sz w:val="24"/>
          <w:szCs w:val="24"/>
        </w:rPr>
      </w:pPr>
      <w:r w:rsidRPr="00A929CE">
        <w:rPr>
          <w:rFonts w:asciiTheme="minorHAnsi" w:hAnsiTheme="minorHAnsi" w:cs="Tahoma"/>
          <w:sz w:val="24"/>
          <w:szCs w:val="24"/>
        </w:rPr>
        <w:t>La tolérance administrative est beaucoup plus criarde lorsqu’on passe de l’échelle collective (collectivités territoriales) à l’échelle des individus. En effet, en dépit de l’existence des brigades opérationnelles dans certaines municipalités, la constatation et la sanction des infractions se rapportant à l’assainissement sont très marginales comparativement à leur récurrence. L’opérationnalité de la police spéciale incarnée par les brigades précitées manque de visibilité. Or, l’application des sanctions pénales et administratives est un accompagnement indispensable à l’émergence d’un ordre juridique effectif en matière d’assainissement au Mali. Mieux, elle est susceptible de générer des ressources financières à l’Etat et aux collectivités territoriales, et d’offrir des opportunités d’emploi aux jeunes.</w:t>
      </w:r>
    </w:p>
    <w:p w:rsidR="00156302" w:rsidRPr="00A929CE" w:rsidRDefault="00156302" w:rsidP="00A929CE">
      <w:pPr>
        <w:autoSpaceDE w:val="0"/>
        <w:autoSpaceDN w:val="0"/>
        <w:adjustRightInd w:val="0"/>
        <w:spacing w:line="360" w:lineRule="auto"/>
        <w:jc w:val="both"/>
        <w:rPr>
          <w:rFonts w:asciiTheme="minorHAnsi" w:hAnsiTheme="minorHAnsi" w:cs="Tahoma"/>
          <w:bCs/>
          <w:sz w:val="24"/>
          <w:szCs w:val="24"/>
        </w:rPr>
      </w:pPr>
      <w:r w:rsidRPr="00A929CE">
        <w:rPr>
          <w:rFonts w:asciiTheme="minorHAnsi" w:hAnsiTheme="minorHAnsi" w:cs="Tahoma"/>
          <w:sz w:val="24"/>
          <w:szCs w:val="24"/>
        </w:rPr>
        <w:t>La non application des textes est parfois la conséquence des hésitations voire des réticences à opérationnaliser les dispositions des textes relatifs à la décentralisation. Ainsi, bien que l’assainissement figure parmi les domaines de responsabilité ayant fait l’objet d’un transfert de compétences de l’Etat vers les collectivités territoriales, les ressources qui devraient accompagnées ce processus n’ont pas suivi cette évolution. Or, dès le début du processus de décentralisation la loi n°93-008, du 11 février 1993, déterminant les conditions de la libre administration des collectivités territoriales a affirmé expressément en son article 4 que «Tout transfert de compétences à une collectivité doit être accompagné du transfert concomitant par l’Etat à celle-ci des moyens et des ressources nécessaires à l’exercice normal de ces compétences». Il s’agit des ressources et moyens humains, matériels et financiers. Ces orientations réaffirmées par le Code général des collectivités territoriales restent purement théoriques en ce qui concerne le sous-secteur de l’assainissement au point que les initiatives mises en œuvre et qui sont portées généralement par des projets, échappent au contrôle des autorités locales.</w:t>
      </w:r>
      <w:r w:rsidRPr="00A929CE">
        <w:rPr>
          <w:rFonts w:asciiTheme="minorHAnsi" w:hAnsiTheme="minorHAnsi" w:cs="Tahoma"/>
          <w:bCs/>
          <w:sz w:val="24"/>
          <w:szCs w:val="24"/>
        </w:rPr>
        <w:t xml:space="preserve"> Pire, la ligne de démarcation entre les attributions des services déconcentrés de la DNACPN et celles des communes en matière d’assainissement n’est pas clairement établie.</w:t>
      </w:r>
    </w:p>
    <w:p w:rsidR="00156302" w:rsidRPr="00A929CE" w:rsidRDefault="00156302" w:rsidP="00A929CE">
      <w:pPr>
        <w:pStyle w:val="Corpsdetexte"/>
        <w:spacing w:line="360" w:lineRule="auto"/>
        <w:rPr>
          <w:rFonts w:asciiTheme="minorHAnsi" w:hAnsiTheme="minorHAnsi" w:cs="Tahoma"/>
          <w:szCs w:val="24"/>
        </w:rPr>
      </w:pPr>
      <w:r w:rsidRPr="00A929CE">
        <w:rPr>
          <w:rFonts w:asciiTheme="minorHAnsi" w:hAnsiTheme="minorHAnsi" w:cs="Tahoma"/>
          <w:szCs w:val="24"/>
        </w:rPr>
        <w:t>L’absence des textes d’application a également confiné au stade de pure virtualité certaines orientations contenues dans la PNA. On peut sur ce point citer la gestion des boues de vidange dans certaines agglomérations, la mise en place des sites adéquats de dépôt, de transit et des décharges finales,</w:t>
      </w:r>
      <w:r w:rsidRPr="00A929CE">
        <w:rPr>
          <w:rFonts w:asciiTheme="minorHAnsi" w:eastAsiaTheme="minorHAnsi" w:hAnsiTheme="minorHAnsi" w:cs="Tahoma"/>
          <w:color w:val="000000"/>
          <w:szCs w:val="24"/>
        </w:rPr>
        <w:t xml:space="preserve"> la définition des normes de rejet des effluents industriels</w:t>
      </w:r>
      <w:r w:rsidRPr="00A929CE">
        <w:rPr>
          <w:rFonts w:asciiTheme="minorHAnsi" w:hAnsiTheme="minorHAnsi" w:cs="Tahoma"/>
          <w:szCs w:val="24"/>
        </w:rPr>
        <w:t>. Faute d’élaboration des textes destinés à opérationnaliser ces orientations celles-ci n’ont pas pu être concrétisées.</w:t>
      </w:r>
    </w:p>
    <w:p w:rsidR="00156302" w:rsidRPr="00A929CE" w:rsidRDefault="00156302" w:rsidP="00A929CE">
      <w:pPr>
        <w:autoSpaceDE w:val="0"/>
        <w:autoSpaceDN w:val="0"/>
        <w:adjustRightInd w:val="0"/>
        <w:spacing w:line="360" w:lineRule="auto"/>
        <w:jc w:val="both"/>
        <w:rPr>
          <w:rFonts w:asciiTheme="minorHAnsi" w:hAnsiTheme="minorHAnsi" w:cs="Tahoma"/>
          <w:bCs/>
          <w:sz w:val="24"/>
          <w:szCs w:val="24"/>
        </w:rPr>
      </w:pPr>
      <w:r w:rsidRPr="00A929CE">
        <w:rPr>
          <w:rFonts w:asciiTheme="minorHAnsi" w:hAnsiTheme="minorHAnsi" w:cs="Tahoma"/>
          <w:bCs/>
          <w:sz w:val="24"/>
          <w:szCs w:val="24"/>
        </w:rPr>
        <w:t>La faiblesse des actions d’information et de sensibilisation n’a pas favorisé la connaissance et l’appropriation du contenu des textes régissant le sous-secteur par les acteurs à tous les niveaux. Il y a donc en matière d’assainissement une situation quasi générale de méconnaissance des textes qui prive de son sens l’adage selon lequel « Nul n’est censé ignorer la loi ».</w:t>
      </w:r>
    </w:p>
    <w:p w:rsidR="00CE195C" w:rsidRPr="00A929CE" w:rsidRDefault="0002433A" w:rsidP="00A929CE">
      <w:pPr>
        <w:pStyle w:val="Titre2"/>
        <w:spacing w:line="360" w:lineRule="auto"/>
        <w:rPr>
          <w:rFonts w:asciiTheme="minorHAnsi" w:hAnsiTheme="minorHAnsi"/>
          <w:szCs w:val="24"/>
        </w:rPr>
      </w:pPr>
      <w:bookmarkStart w:id="63" w:name="_Toc536448601"/>
      <w:r>
        <w:rPr>
          <w:rFonts w:asciiTheme="minorHAnsi" w:hAnsiTheme="minorHAnsi"/>
          <w:szCs w:val="24"/>
        </w:rPr>
        <w:t>S</w:t>
      </w:r>
      <w:r w:rsidR="00CE195C" w:rsidRPr="00A929CE">
        <w:rPr>
          <w:rFonts w:asciiTheme="minorHAnsi" w:hAnsiTheme="minorHAnsi"/>
          <w:szCs w:val="24"/>
        </w:rPr>
        <w:t>uivi-évaluation de la PNA et des 5 stratégies sous-sectorielles</w:t>
      </w:r>
      <w:bookmarkEnd w:id="60"/>
      <w:bookmarkEnd w:id="63"/>
    </w:p>
    <w:p w:rsidR="00CE195C" w:rsidRPr="001754BB" w:rsidRDefault="00CE195C" w:rsidP="00B8772C">
      <w:pPr>
        <w:spacing w:line="360" w:lineRule="auto"/>
        <w:jc w:val="both"/>
        <w:rPr>
          <w:rFonts w:asciiTheme="minorHAnsi" w:hAnsiTheme="minorHAnsi" w:cstheme="minorHAnsi"/>
          <w:sz w:val="24"/>
          <w:szCs w:val="24"/>
        </w:rPr>
      </w:pPr>
      <w:r w:rsidRPr="001754BB">
        <w:rPr>
          <w:rFonts w:asciiTheme="minorHAnsi" w:hAnsiTheme="minorHAnsi" w:cstheme="minorHAnsi"/>
          <w:sz w:val="24"/>
          <w:szCs w:val="24"/>
        </w:rPr>
        <w:t xml:space="preserve">La PNA repose sur un montage institutionnel </w:t>
      </w:r>
      <w:r w:rsidR="002846B1" w:rsidRPr="002846B1">
        <w:rPr>
          <w:rFonts w:asciiTheme="minorHAnsi" w:hAnsiTheme="minorHAnsi" w:cstheme="minorHAnsi"/>
          <w:color w:val="FF0000"/>
          <w:sz w:val="24"/>
          <w:szCs w:val="24"/>
        </w:rPr>
        <w:t xml:space="preserve">où, </w:t>
      </w:r>
      <w:r w:rsidRPr="002846B1">
        <w:rPr>
          <w:rFonts w:asciiTheme="minorHAnsi" w:hAnsiTheme="minorHAnsi" w:cstheme="minorHAnsi"/>
          <w:color w:val="FF0000"/>
          <w:sz w:val="24"/>
          <w:szCs w:val="24"/>
        </w:rPr>
        <w:t xml:space="preserve">à côté du document de politique en tant que tel, </w:t>
      </w:r>
      <w:r w:rsidR="002846B1" w:rsidRPr="002846B1">
        <w:rPr>
          <w:rFonts w:asciiTheme="minorHAnsi" w:hAnsiTheme="minorHAnsi" w:cstheme="minorHAnsi"/>
          <w:color w:val="FF0000"/>
          <w:sz w:val="24"/>
          <w:szCs w:val="24"/>
        </w:rPr>
        <w:t xml:space="preserve">il </w:t>
      </w:r>
      <w:r w:rsidRPr="002846B1">
        <w:rPr>
          <w:rFonts w:asciiTheme="minorHAnsi" w:hAnsiTheme="minorHAnsi" w:cstheme="minorHAnsi"/>
          <w:color w:val="FF0000"/>
          <w:sz w:val="24"/>
          <w:szCs w:val="24"/>
        </w:rPr>
        <w:t>existe cinq stratégies sous-sectorielles</w:t>
      </w:r>
      <w:r w:rsidRPr="001754BB">
        <w:rPr>
          <w:rFonts w:asciiTheme="minorHAnsi" w:hAnsiTheme="minorHAnsi" w:cstheme="minorHAnsi"/>
          <w:sz w:val="24"/>
          <w:szCs w:val="24"/>
        </w:rPr>
        <w:t xml:space="preserve">. </w:t>
      </w:r>
    </w:p>
    <w:p w:rsidR="00CE195C" w:rsidRPr="0022409F" w:rsidRDefault="00CE195C" w:rsidP="001754BB">
      <w:pPr>
        <w:spacing w:line="360" w:lineRule="auto"/>
        <w:jc w:val="both"/>
        <w:rPr>
          <w:rFonts w:asciiTheme="minorHAnsi" w:hAnsiTheme="minorHAnsi" w:cstheme="minorHAnsi"/>
          <w:color w:val="000000"/>
          <w:sz w:val="24"/>
          <w:szCs w:val="24"/>
        </w:rPr>
      </w:pPr>
      <w:r w:rsidRPr="00BC7FF5">
        <w:rPr>
          <w:rFonts w:asciiTheme="minorHAnsi" w:hAnsiTheme="minorHAnsi" w:cstheme="minorHAnsi"/>
          <w:bCs/>
          <w:iCs/>
          <w:sz w:val="24"/>
          <w:szCs w:val="24"/>
        </w:rPr>
        <w:t xml:space="preserve">Le document de la politique nationale d’assainissement en tant que tel ne comporte pas de plan d’actions à fortiori de cadre logique alors même qu’il a annoncé </w:t>
      </w:r>
      <w:r w:rsidRPr="0022409F">
        <w:rPr>
          <w:rFonts w:asciiTheme="minorHAnsi" w:hAnsiTheme="minorHAnsi" w:cstheme="minorHAnsi"/>
          <w:color w:val="000000"/>
          <w:sz w:val="24"/>
          <w:szCs w:val="24"/>
        </w:rPr>
        <w:t xml:space="preserve">l’élaboration d’un plan d’actions global intégrant l’ensemble des stratégies sous-sectorielles. </w:t>
      </w:r>
    </w:p>
    <w:p w:rsidR="00CE195C" w:rsidRPr="00112EE9" w:rsidRDefault="00CE195C" w:rsidP="001754BB">
      <w:pPr>
        <w:spacing w:line="360" w:lineRule="auto"/>
        <w:jc w:val="both"/>
        <w:rPr>
          <w:rFonts w:asciiTheme="minorHAnsi" w:hAnsiTheme="minorHAnsi" w:cstheme="minorHAnsi"/>
          <w:color w:val="000000"/>
          <w:sz w:val="24"/>
          <w:szCs w:val="24"/>
        </w:rPr>
      </w:pPr>
      <w:r w:rsidRPr="00112EE9">
        <w:rPr>
          <w:rFonts w:asciiTheme="minorHAnsi" w:hAnsiTheme="minorHAnsi" w:cstheme="minorHAnsi"/>
          <w:color w:val="000000"/>
          <w:sz w:val="24"/>
          <w:szCs w:val="24"/>
        </w:rPr>
        <w:t xml:space="preserve">Le suivi-évaluation dudit plan d’actions devrait être assuré par des comités à tous les niveaux (national, régional, cercle, communal) sous la présidence respective du gouverneur, préfet, etc. </w:t>
      </w:r>
    </w:p>
    <w:p w:rsidR="00CE195C" w:rsidRPr="00D863B8" w:rsidRDefault="00CE195C" w:rsidP="00BC7FF5">
      <w:pPr>
        <w:spacing w:line="360" w:lineRule="auto"/>
        <w:jc w:val="both"/>
        <w:rPr>
          <w:rFonts w:asciiTheme="minorHAnsi" w:hAnsiTheme="minorHAnsi" w:cstheme="minorHAnsi"/>
          <w:color w:val="000000"/>
          <w:sz w:val="24"/>
          <w:szCs w:val="24"/>
        </w:rPr>
      </w:pPr>
      <w:r w:rsidRPr="00112EE9">
        <w:rPr>
          <w:rFonts w:asciiTheme="minorHAnsi" w:hAnsiTheme="minorHAnsi" w:cstheme="minorHAnsi"/>
          <w:color w:val="000000"/>
          <w:sz w:val="24"/>
          <w:szCs w:val="24"/>
        </w:rPr>
        <w:t>L’organisation administrative de ce suivi-évaluation se fera sur la base d’une approche participative et inclusive. En ce qui concerne le suivi du sous-secteur au niveau national, il est dit qu’un rapport devrait être pro</w:t>
      </w:r>
      <w:r w:rsidRPr="00D863B8">
        <w:rPr>
          <w:rFonts w:asciiTheme="minorHAnsi" w:hAnsiTheme="minorHAnsi" w:cstheme="minorHAnsi"/>
          <w:color w:val="000000"/>
          <w:sz w:val="24"/>
          <w:szCs w:val="24"/>
        </w:rPr>
        <w:t xml:space="preserve">duit tous les deux ans sous le contrôle d’un comité national de suivi, et un rapport d’état des lieux devrait être établi tous les cinq (05) ans. </w:t>
      </w:r>
    </w:p>
    <w:p w:rsidR="00CE195C" w:rsidRDefault="00CE195C" w:rsidP="00112EE9">
      <w:pPr>
        <w:spacing w:line="360" w:lineRule="auto"/>
        <w:jc w:val="both"/>
        <w:rPr>
          <w:rFonts w:asciiTheme="minorHAnsi" w:hAnsiTheme="minorHAnsi" w:cstheme="minorHAnsi"/>
          <w:color w:val="000000"/>
          <w:sz w:val="24"/>
          <w:szCs w:val="24"/>
        </w:rPr>
      </w:pPr>
      <w:r w:rsidRPr="00A929CE">
        <w:rPr>
          <w:rFonts w:asciiTheme="minorHAnsi" w:hAnsiTheme="minorHAnsi" w:cstheme="minorHAnsi"/>
          <w:color w:val="000000"/>
          <w:sz w:val="24"/>
          <w:szCs w:val="24"/>
        </w:rPr>
        <w:t xml:space="preserve">Ce rapport pourra servir d’outil d’aide à la décision et s’appuiera sur des Enquêtes Nationales Assainissement et Pollution (ENAP). L’ENAP couvre l’ensemble des domaines de l’assainissement (tel que défini au paragraphe A.2.2.), des pollutions et des nuisances. La CPS du ministère en charge de l’assainissement coordonne les ENAP, en lien avec </w:t>
      </w:r>
      <w:r w:rsidR="002846B1">
        <w:rPr>
          <w:rFonts w:ascii="Times New Roman" w:hAnsi="Times New Roman" w:cs="Times New Roman"/>
          <w:color w:val="FF0000"/>
          <w:sz w:val="24"/>
          <w:szCs w:val="24"/>
        </w:rPr>
        <w:t xml:space="preserve">l’Institut National de la Statistique (INSTAT) </w:t>
      </w:r>
      <w:r w:rsidRPr="00A929CE">
        <w:rPr>
          <w:rFonts w:asciiTheme="minorHAnsi" w:hAnsiTheme="minorHAnsi" w:cstheme="minorHAnsi"/>
          <w:color w:val="000000"/>
          <w:sz w:val="24"/>
          <w:szCs w:val="24"/>
        </w:rPr>
        <w:t>et les CPS des ministères en charge de l’hydraulique, de la santé, de l’administration territoriale, des industries, de l’artisanat, du commerce, des finances et de l’éducation. Ces indications participent certes à des éléments d’un système de suivi-évaluation mais sont loin de constituer ledit système.</w:t>
      </w:r>
    </w:p>
    <w:p w:rsidR="00C33EAE" w:rsidRPr="00A929CE" w:rsidRDefault="00C33EAE" w:rsidP="00D54C69">
      <w:pPr>
        <w:pStyle w:val="Titre2"/>
      </w:pPr>
      <w:bookmarkStart w:id="64" w:name="_Toc536448602"/>
      <w:r w:rsidRPr="00A929CE">
        <w:t>Evaluation selon les critères du Comité d’Aide au Développement (CAD)</w:t>
      </w:r>
      <w:bookmarkEnd w:id="64"/>
    </w:p>
    <w:p w:rsidR="00C33EAE" w:rsidRPr="00A929CE" w:rsidRDefault="00C33EAE" w:rsidP="00D54C69">
      <w:pPr>
        <w:pStyle w:val="Titre3"/>
      </w:pPr>
      <w:bookmarkStart w:id="65" w:name="_Toc536448603"/>
      <w:r w:rsidRPr="00A929CE">
        <w:t>La pertinence</w:t>
      </w:r>
      <w:bookmarkEnd w:id="65"/>
      <w:r w:rsidRPr="00A929CE">
        <w:t xml:space="preserve">  </w:t>
      </w:r>
    </w:p>
    <w:p w:rsidR="00283263" w:rsidRPr="00D54C69" w:rsidRDefault="00283263" w:rsidP="00283263">
      <w:pPr>
        <w:pStyle w:val="BodyText"/>
        <w:spacing w:line="360" w:lineRule="auto"/>
        <w:rPr>
          <w:rFonts w:asciiTheme="minorHAnsi" w:hAnsiTheme="minorHAnsi"/>
          <w:sz w:val="24"/>
          <w:szCs w:val="24"/>
        </w:rPr>
      </w:pPr>
      <w:r w:rsidRPr="00D54C69">
        <w:rPr>
          <w:rFonts w:asciiTheme="minorHAnsi" w:hAnsiTheme="minorHAnsi"/>
          <w:sz w:val="24"/>
          <w:szCs w:val="24"/>
        </w:rPr>
        <w:t>La pertinence est considérée comme « l’adéquation des objectifs aux problèmes, besoins et priorités réels des groupes-cibles prévus et bénéficiaires auxquels le projet est censé s’adresser ainsi qu’à l’environnement matériel et politique dans lequel il opère ».</w:t>
      </w:r>
    </w:p>
    <w:p w:rsidR="00283263" w:rsidRPr="00D54C69" w:rsidRDefault="00283263" w:rsidP="00283263">
      <w:pPr>
        <w:pStyle w:val="BodyText"/>
        <w:spacing w:line="360" w:lineRule="auto"/>
        <w:rPr>
          <w:rFonts w:asciiTheme="minorHAnsi" w:hAnsiTheme="minorHAnsi"/>
          <w:sz w:val="24"/>
          <w:szCs w:val="24"/>
        </w:rPr>
      </w:pPr>
      <w:r w:rsidRPr="00D54C69">
        <w:rPr>
          <w:rFonts w:asciiTheme="minorHAnsi" w:hAnsiTheme="minorHAnsi"/>
          <w:sz w:val="24"/>
          <w:szCs w:val="24"/>
        </w:rPr>
        <w:t xml:space="preserve">L’évaluation de la pertinence de la mise en œuvre d’une politique doit porter sur les questions suivantes : </w:t>
      </w:r>
    </w:p>
    <w:p w:rsidR="00283263" w:rsidRPr="00D54C69" w:rsidRDefault="00283263" w:rsidP="00283263">
      <w:pPr>
        <w:pStyle w:val="BodyText"/>
        <w:numPr>
          <w:ilvl w:val="0"/>
          <w:numId w:val="68"/>
        </w:numPr>
        <w:spacing w:line="360" w:lineRule="auto"/>
        <w:rPr>
          <w:rFonts w:asciiTheme="minorHAnsi" w:hAnsiTheme="minorHAnsi"/>
          <w:sz w:val="24"/>
          <w:szCs w:val="24"/>
        </w:rPr>
      </w:pPr>
      <w:r w:rsidRPr="00D54C69">
        <w:rPr>
          <w:rFonts w:asciiTheme="minorHAnsi" w:hAnsiTheme="minorHAnsi"/>
          <w:sz w:val="24"/>
          <w:szCs w:val="24"/>
        </w:rPr>
        <w:t xml:space="preserve">Dans quelle mesure les objectifs du programme sont-ils toujours valides ? </w:t>
      </w:r>
    </w:p>
    <w:p w:rsidR="00283263" w:rsidRPr="00D54C69" w:rsidRDefault="00283263" w:rsidP="00283263">
      <w:pPr>
        <w:pStyle w:val="BodyText"/>
        <w:numPr>
          <w:ilvl w:val="0"/>
          <w:numId w:val="68"/>
        </w:numPr>
        <w:spacing w:line="360" w:lineRule="auto"/>
        <w:rPr>
          <w:rFonts w:asciiTheme="minorHAnsi" w:hAnsiTheme="minorHAnsi"/>
          <w:sz w:val="24"/>
          <w:szCs w:val="24"/>
        </w:rPr>
      </w:pPr>
      <w:r w:rsidRPr="00D54C69">
        <w:rPr>
          <w:rFonts w:asciiTheme="minorHAnsi" w:hAnsiTheme="minorHAnsi"/>
          <w:sz w:val="24"/>
          <w:szCs w:val="24"/>
        </w:rPr>
        <w:t>Les activités menées dans le cadre du programme et les résultats observés sont-ils compatibles avec la finalité globale et la concrétisation des objectifs fixés ?</w:t>
      </w:r>
    </w:p>
    <w:p w:rsidR="00283263" w:rsidRPr="00D54C69" w:rsidRDefault="00283263" w:rsidP="00283263">
      <w:pPr>
        <w:pStyle w:val="BodyText"/>
        <w:numPr>
          <w:ilvl w:val="0"/>
          <w:numId w:val="68"/>
        </w:numPr>
        <w:spacing w:line="360" w:lineRule="auto"/>
        <w:rPr>
          <w:rFonts w:asciiTheme="minorHAnsi" w:hAnsiTheme="minorHAnsi"/>
          <w:sz w:val="24"/>
          <w:szCs w:val="24"/>
        </w:rPr>
      </w:pPr>
      <w:r w:rsidRPr="00D54C69">
        <w:rPr>
          <w:rFonts w:asciiTheme="minorHAnsi" w:hAnsiTheme="minorHAnsi"/>
          <w:sz w:val="24"/>
          <w:szCs w:val="24"/>
        </w:rPr>
        <w:t>Les activités menées dans le cadre de la mise en œuvre de la politique et les résultats observés sont-ils compatibles avec l’impact et les effets escomptés ?</w:t>
      </w:r>
    </w:p>
    <w:p w:rsidR="00C33EAE" w:rsidRPr="00DF47E6" w:rsidRDefault="00C33EAE" w:rsidP="00C33EAE">
      <w:pPr>
        <w:autoSpaceDE w:val="0"/>
        <w:autoSpaceDN w:val="0"/>
        <w:adjustRightInd w:val="0"/>
        <w:spacing w:line="360" w:lineRule="auto"/>
        <w:jc w:val="both"/>
        <w:rPr>
          <w:rFonts w:asciiTheme="minorHAnsi" w:hAnsiTheme="minorHAnsi" w:cstheme="minorHAnsi"/>
          <w:sz w:val="24"/>
          <w:szCs w:val="24"/>
        </w:rPr>
      </w:pPr>
      <w:r w:rsidRPr="00A929CE">
        <w:rPr>
          <w:rFonts w:asciiTheme="minorHAnsi" w:hAnsiTheme="minorHAnsi"/>
          <w:sz w:val="24"/>
          <w:szCs w:val="24"/>
          <w:lang w:eastAsia="fr-FR"/>
        </w:rPr>
        <w:t xml:space="preserve">La </w:t>
      </w:r>
      <w:r w:rsidRPr="00A929CE">
        <w:rPr>
          <w:rFonts w:asciiTheme="minorHAnsi" w:hAnsiTheme="minorHAnsi"/>
          <w:b/>
          <w:sz w:val="24"/>
          <w:szCs w:val="24"/>
          <w:lang w:eastAsia="fr-FR"/>
        </w:rPr>
        <w:t xml:space="preserve">pertinence </w:t>
      </w:r>
      <w:r w:rsidRPr="00A929CE">
        <w:rPr>
          <w:rFonts w:asciiTheme="minorHAnsi" w:hAnsiTheme="minorHAnsi"/>
          <w:sz w:val="24"/>
          <w:szCs w:val="24"/>
          <w:lang w:eastAsia="fr-FR"/>
        </w:rPr>
        <w:t xml:space="preserve">de la PNA est vérifiée au regard des besoins des populations maliennes dans le cadre de leur accès à un service d’assainissement adéquat. Ainsi, les résultats assignés à la PNA viennent augmenter conséquemment le taux d’accès à l’assainissement. </w:t>
      </w:r>
      <w:r w:rsidRPr="00DF47E6">
        <w:rPr>
          <w:rFonts w:asciiTheme="minorHAnsi" w:hAnsiTheme="minorHAnsi" w:cstheme="minorHAnsi"/>
          <w:sz w:val="24"/>
          <w:szCs w:val="24"/>
        </w:rPr>
        <w:t>La PNA est alignée sur les orientations nationales dans le domaine. Les orientations stratégiques nationales en matière d’assainissement ont d’abord été énoncées par la Constitution malienne laquelle dispose</w:t>
      </w:r>
      <w:r w:rsidRPr="00DF47E6">
        <w:rPr>
          <w:rFonts w:asciiTheme="minorHAnsi" w:hAnsiTheme="minorHAnsi" w:cstheme="minorHAnsi"/>
          <w:sz w:val="24"/>
          <w:szCs w:val="24"/>
          <w:lang w:val="fr-CA"/>
        </w:rPr>
        <w:t xml:space="preserve"> dans son préambule que : « le peuple souverain s’engage à assurer l’amélioration de la qualité de la vie, la protection de l’environnement et du patrimoine culturel ». </w:t>
      </w:r>
      <w:r w:rsidRPr="00DF47E6">
        <w:rPr>
          <w:rFonts w:asciiTheme="minorHAnsi" w:hAnsiTheme="minorHAnsi" w:cstheme="minorHAnsi"/>
          <w:sz w:val="24"/>
          <w:szCs w:val="24"/>
        </w:rPr>
        <w:t>Les objectifs spécifiques de la Politique Nationale de la Protection de l’Environnement (PNPE) dans le domaine de l’assainissement, notamment en milieu urbain portent sur :</w:t>
      </w:r>
    </w:p>
    <w:p w:rsidR="00C33EAE" w:rsidRPr="00DF47E6" w:rsidRDefault="00C33EAE" w:rsidP="00C33EAE">
      <w:pPr>
        <w:pStyle w:val="Paragraphedeliste"/>
        <w:numPr>
          <w:ilvl w:val="0"/>
          <w:numId w:val="23"/>
        </w:numPr>
        <w:autoSpaceDE w:val="0"/>
        <w:autoSpaceDN w:val="0"/>
        <w:adjustRightInd w:val="0"/>
        <w:spacing w:line="360" w:lineRule="auto"/>
        <w:jc w:val="both"/>
        <w:rPr>
          <w:rFonts w:asciiTheme="minorHAnsi" w:hAnsiTheme="minorHAnsi" w:cstheme="minorHAnsi"/>
          <w:sz w:val="24"/>
          <w:szCs w:val="24"/>
        </w:rPr>
      </w:pPr>
      <w:r w:rsidRPr="00DF47E6">
        <w:rPr>
          <w:rFonts w:asciiTheme="minorHAnsi" w:hAnsiTheme="minorHAnsi" w:cstheme="minorHAnsi"/>
          <w:sz w:val="24"/>
          <w:szCs w:val="24"/>
        </w:rPr>
        <w:t>La création des stations d’épuration ou de dépollution des rejets liquides ;</w:t>
      </w:r>
    </w:p>
    <w:p w:rsidR="00C33EAE" w:rsidRPr="00DF47E6" w:rsidRDefault="00C33EAE" w:rsidP="00C33EAE">
      <w:pPr>
        <w:pStyle w:val="Paragraphedeliste"/>
        <w:numPr>
          <w:ilvl w:val="0"/>
          <w:numId w:val="23"/>
        </w:numPr>
        <w:autoSpaceDE w:val="0"/>
        <w:autoSpaceDN w:val="0"/>
        <w:adjustRightInd w:val="0"/>
        <w:spacing w:line="360" w:lineRule="auto"/>
        <w:jc w:val="both"/>
        <w:rPr>
          <w:rFonts w:asciiTheme="minorHAnsi" w:hAnsiTheme="minorHAnsi" w:cstheme="minorHAnsi"/>
          <w:sz w:val="24"/>
          <w:szCs w:val="24"/>
        </w:rPr>
      </w:pPr>
      <w:r w:rsidRPr="00DF47E6">
        <w:rPr>
          <w:rFonts w:asciiTheme="minorHAnsi" w:hAnsiTheme="minorHAnsi" w:cstheme="minorHAnsi"/>
          <w:sz w:val="24"/>
          <w:szCs w:val="24"/>
        </w:rPr>
        <w:t>La construction de centres d’enfouissement technique des déchets solides et gazeux ;</w:t>
      </w:r>
    </w:p>
    <w:p w:rsidR="00C33EAE" w:rsidRPr="00DF47E6" w:rsidRDefault="00C33EAE" w:rsidP="00C33EAE">
      <w:pPr>
        <w:pStyle w:val="Paragraphedeliste"/>
        <w:numPr>
          <w:ilvl w:val="0"/>
          <w:numId w:val="23"/>
        </w:numPr>
        <w:autoSpaceDE w:val="0"/>
        <w:autoSpaceDN w:val="0"/>
        <w:adjustRightInd w:val="0"/>
        <w:spacing w:line="360" w:lineRule="auto"/>
        <w:jc w:val="both"/>
        <w:rPr>
          <w:rFonts w:asciiTheme="minorHAnsi" w:hAnsiTheme="minorHAnsi" w:cstheme="minorHAnsi"/>
          <w:sz w:val="24"/>
          <w:szCs w:val="24"/>
        </w:rPr>
      </w:pPr>
      <w:r w:rsidRPr="00DF47E6">
        <w:rPr>
          <w:rFonts w:asciiTheme="minorHAnsi" w:hAnsiTheme="minorHAnsi" w:cstheme="minorHAnsi"/>
          <w:sz w:val="24"/>
          <w:szCs w:val="24"/>
        </w:rPr>
        <w:t>Le soutien aux initiatives locales en matière d’assainissement notamment de collecte et de traitement des déchets domestiques ;</w:t>
      </w:r>
    </w:p>
    <w:p w:rsidR="00C33EAE" w:rsidRPr="00DF47E6" w:rsidRDefault="00C33EAE" w:rsidP="00C33EAE">
      <w:pPr>
        <w:pStyle w:val="Paragraphedeliste"/>
        <w:numPr>
          <w:ilvl w:val="0"/>
          <w:numId w:val="23"/>
        </w:numPr>
        <w:autoSpaceDE w:val="0"/>
        <w:autoSpaceDN w:val="0"/>
        <w:adjustRightInd w:val="0"/>
        <w:spacing w:line="360" w:lineRule="auto"/>
        <w:jc w:val="both"/>
        <w:rPr>
          <w:rFonts w:asciiTheme="minorHAnsi" w:hAnsiTheme="minorHAnsi" w:cstheme="minorHAnsi"/>
          <w:sz w:val="24"/>
          <w:szCs w:val="24"/>
        </w:rPr>
      </w:pPr>
      <w:r w:rsidRPr="00DF47E6">
        <w:rPr>
          <w:rFonts w:asciiTheme="minorHAnsi" w:hAnsiTheme="minorHAnsi" w:cstheme="minorHAnsi"/>
          <w:sz w:val="24"/>
          <w:szCs w:val="24"/>
        </w:rPr>
        <w:t>L’élaboration d’une politique nationale d’assainissement (PNA).</w:t>
      </w:r>
    </w:p>
    <w:p w:rsidR="00C33EAE" w:rsidRPr="00A929CE" w:rsidRDefault="00C33EAE" w:rsidP="00C33EAE">
      <w:pPr>
        <w:autoSpaceDE w:val="0"/>
        <w:autoSpaceDN w:val="0"/>
        <w:adjustRightInd w:val="0"/>
        <w:spacing w:line="360" w:lineRule="auto"/>
        <w:jc w:val="both"/>
        <w:rPr>
          <w:rFonts w:asciiTheme="minorHAnsi" w:hAnsiTheme="minorHAnsi"/>
          <w:sz w:val="24"/>
          <w:szCs w:val="24"/>
          <w:lang w:eastAsia="fr-FR"/>
        </w:rPr>
      </w:pPr>
      <w:r w:rsidRPr="00DF47E6">
        <w:rPr>
          <w:rFonts w:asciiTheme="minorHAnsi" w:hAnsiTheme="minorHAnsi" w:cstheme="minorHAnsi"/>
          <w:sz w:val="24"/>
          <w:szCs w:val="24"/>
        </w:rPr>
        <w:t xml:space="preserve">Plus globalement, le </w:t>
      </w:r>
      <w:r w:rsidRPr="00DF47E6">
        <w:rPr>
          <w:rFonts w:asciiTheme="minorHAnsi" w:hAnsiTheme="minorHAnsi" w:cstheme="minorHAnsi"/>
          <w:bCs/>
          <w:sz w:val="24"/>
          <w:szCs w:val="24"/>
        </w:rPr>
        <w:t xml:space="preserve">Cadre Stratégique pour la Croissance et la Réduction de la Pauvreté </w:t>
      </w:r>
      <w:r w:rsidRPr="00DF47E6">
        <w:rPr>
          <w:rFonts w:asciiTheme="minorHAnsi" w:hAnsiTheme="minorHAnsi" w:cstheme="minorHAnsi"/>
          <w:sz w:val="24"/>
          <w:szCs w:val="24"/>
        </w:rPr>
        <w:t>(CSCRP) élaboré en 2002 par le Gouvernement, souligne la dimension économique de l’assainissement et son caractère incontournable dans</w:t>
      </w:r>
      <w:r w:rsidR="002846B1">
        <w:rPr>
          <w:rFonts w:asciiTheme="minorHAnsi" w:hAnsiTheme="minorHAnsi" w:cstheme="minorHAnsi"/>
          <w:sz w:val="24"/>
          <w:szCs w:val="24"/>
        </w:rPr>
        <w:t xml:space="preserve"> </w:t>
      </w:r>
      <w:r w:rsidRPr="00DF47E6">
        <w:rPr>
          <w:rFonts w:asciiTheme="minorHAnsi" w:hAnsiTheme="minorHAnsi" w:cstheme="minorHAnsi"/>
          <w:sz w:val="24"/>
          <w:szCs w:val="24"/>
        </w:rPr>
        <w:t xml:space="preserve">la lutte contre la pauvreté. Le cadre stratégique pour la relance économique et le développement durable du Mali (CREDD 2016-2018) après avoir souligné que l’accès aux infrastructures d’assainissement a un impact direct sur les conditions de vie et sur l’état de santé de la population, a décliné les orientations du Gouvernement dans ce domaine. Aussi, en se fixant comme objectif global d’améliorer l’accès de la population du Mali au service public de l’assainissement géré de manière durable (sur le plan financier et sur le plan environnemental) au niveau local, la PNA contribue à l’atteinte des objectifs supérieurs des cadres stratégiques nationaux précités. La PNA est également alignée sur les engagements internationaux souscrits par le Mali dans le sous-secteur de l’assainissement. </w:t>
      </w:r>
    </w:p>
    <w:p w:rsidR="00C33EAE" w:rsidRPr="004176C3" w:rsidRDefault="00C33EAE" w:rsidP="00D54C69">
      <w:pPr>
        <w:autoSpaceDE w:val="0"/>
        <w:autoSpaceDN w:val="0"/>
        <w:adjustRightInd w:val="0"/>
        <w:spacing w:line="360" w:lineRule="auto"/>
        <w:jc w:val="both"/>
        <w:rPr>
          <w:rFonts w:asciiTheme="minorHAnsi" w:hAnsiTheme="minorHAnsi" w:cs="Tahoma"/>
          <w:sz w:val="24"/>
          <w:szCs w:val="24"/>
        </w:rPr>
      </w:pPr>
      <w:r w:rsidRPr="004176C3">
        <w:rPr>
          <w:rFonts w:asciiTheme="minorHAnsi" w:hAnsiTheme="minorHAnsi" w:cs="Tahoma"/>
          <w:sz w:val="24"/>
          <w:szCs w:val="24"/>
        </w:rPr>
        <w:t xml:space="preserve">Toutefois, bien que la Politique nationale d’assainissement soit parfaitement alignée sur les orientations supérieures du Gouvernement malien, on note cependant que les ressources budgétaires allouées à ce </w:t>
      </w:r>
      <w:r w:rsidRPr="00B41C42">
        <w:rPr>
          <w:rFonts w:asciiTheme="minorHAnsi" w:hAnsiTheme="minorHAnsi" w:cs="Tahoma"/>
          <w:sz w:val="24"/>
          <w:szCs w:val="24"/>
        </w:rPr>
        <w:t>sous-secteur</w:t>
      </w:r>
      <w:r w:rsidRPr="004176C3">
        <w:rPr>
          <w:rFonts w:asciiTheme="minorHAnsi" w:hAnsiTheme="minorHAnsi" w:cs="Tahoma"/>
          <w:sz w:val="24"/>
          <w:szCs w:val="24"/>
        </w:rPr>
        <w:t xml:space="preserve"> sont inversement proportionnelles à l’importance qui est la sienne et qui est reconnue unanimement par toutes les parties prenantes. En effet, moins de 2% des ressources budgétaires sont affectées à l’assainissement. Ce décalage entre les affirmations contenues dans les politiques/stratégies et les allocations budgétaires consacrées à la prise en charge, nuit à la lisibilité de la politique de l’Etat en matière d’assainissement.</w:t>
      </w:r>
    </w:p>
    <w:p w:rsidR="00C33EAE" w:rsidRPr="00A929CE" w:rsidRDefault="00C33EAE" w:rsidP="00D54C69">
      <w:pPr>
        <w:pStyle w:val="Titre3"/>
      </w:pPr>
      <w:bookmarkStart w:id="66" w:name="_Toc536448604"/>
      <w:r w:rsidRPr="00A929CE">
        <w:t>L’efficacité</w:t>
      </w:r>
      <w:bookmarkEnd w:id="66"/>
      <w:r w:rsidRPr="00A929CE">
        <w:t> </w:t>
      </w:r>
    </w:p>
    <w:p w:rsidR="00E875A7" w:rsidRPr="00F0528A" w:rsidRDefault="00E875A7" w:rsidP="00E875A7">
      <w:pPr>
        <w:pStyle w:val="BodyText"/>
        <w:spacing w:line="360" w:lineRule="auto"/>
        <w:rPr>
          <w:rFonts w:asciiTheme="minorHAnsi" w:hAnsiTheme="minorHAnsi"/>
          <w:sz w:val="24"/>
          <w:szCs w:val="24"/>
        </w:rPr>
      </w:pPr>
      <w:r w:rsidRPr="00F0528A">
        <w:rPr>
          <w:rFonts w:asciiTheme="minorHAnsi" w:hAnsiTheme="minorHAnsi"/>
          <w:sz w:val="24"/>
          <w:szCs w:val="24"/>
        </w:rPr>
        <w:t>L’efficacité est « la mesure selon laquelle les résultats de la mise en œuvre d’une la politique participent à la réalisation des objectifs spécifiques de celle-ci ».</w:t>
      </w:r>
    </w:p>
    <w:p w:rsidR="00E875A7" w:rsidRPr="00F0528A" w:rsidRDefault="00E875A7" w:rsidP="00E875A7">
      <w:pPr>
        <w:pStyle w:val="BodyText"/>
        <w:spacing w:line="360" w:lineRule="auto"/>
        <w:rPr>
          <w:rFonts w:asciiTheme="minorHAnsi" w:hAnsiTheme="minorHAnsi"/>
          <w:sz w:val="24"/>
          <w:szCs w:val="24"/>
        </w:rPr>
      </w:pPr>
      <w:r w:rsidRPr="00F0528A">
        <w:rPr>
          <w:rFonts w:asciiTheme="minorHAnsi" w:hAnsiTheme="minorHAnsi"/>
          <w:sz w:val="24"/>
          <w:szCs w:val="24"/>
        </w:rPr>
        <w:t>L’évaluation de l’efficacité prend en compte les points suivants :</w:t>
      </w:r>
    </w:p>
    <w:p w:rsidR="00E875A7" w:rsidRPr="00D54C69" w:rsidRDefault="00E875A7" w:rsidP="00D54C69">
      <w:pPr>
        <w:pStyle w:val="BodyText"/>
        <w:numPr>
          <w:ilvl w:val="0"/>
          <w:numId w:val="76"/>
        </w:numPr>
      </w:pPr>
      <w:r w:rsidRPr="00D54C69">
        <w:t xml:space="preserve">Dans quelle mesure les objectifs ont-ils été atteints ou sont susceptibles de l’être ? </w:t>
      </w:r>
    </w:p>
    <w:p w:rsidR="00E875A7" w:rsidRPr="00D54C69" w:rsidRDefault="00E875A7" w:rsidP="00D54C69">
      <w:pPr>
        <w:pStyle w:val="BodyText"/>
        <w:numPr>
          <w:ilvl w:val="0"/>
          <w:numId w:val="76"/>
        </w:numPr>
      </w:pPr>
      <w:r w:rsidRPr="00D54C69">
        <w:t>Quels ont été les principales raisons de la réalisation ou de la non-réalisation des objectifs ?</w:t>
      </w:r>
    </w:p>
    <w:p w:rsidR="00C33EAE" w:rsidRPr="004176C3" w:rsidRDefault="00C33EAE" w:rsidP="00C33EAE">
      <w:pPr>
        <w:spacing w:line="360" w:lineRule="auto"/>
        <w:jc w:val="both"/>
        <w:rPr>
          <w:rFonts w:ascii="Tw Cen MT" w:hAnsi="Tw Cen MT" w:cstheme="minorHAnsi"/>
          <w:sz w:val="24"/>
          <w:szCs w:val="24"/>
          <w:lang w:eastAsia="fr-FR"/>
        </w:rPr>
      </w:pPr>
      <w:r w:rsidRPr="00A929CE">
        <w:rPr>
          <w:rFonts w:asciiTheme="minorHAnsi" w:hAnsiTheme="minorHAnsi"/>
          <w:sz w:val="24"/>
          <w:szCs w:val="24"/>
          <w:lang w:eastAsia="fr-FR"/>
        </w:rPr>
        <w:t>L’</w:t>
      </w:r>
      <w:r w:rsidRPr="00A929CE">
        <w:rPr>
          <w:rFonts w:asciiTheme="minorHAnsi" w:hAnsiTheme="minorHAnsi"/>
          <w:b/>
          <w:sz w:val="24"/>
          <w:szCs w:val="24"/>
          <w:lang w:eastAsia="fr-FR"/>
        </w:rPr>
        <w:t>efficacité</w:t>
      </w:r>
      <w:r>
        <w:rPr>
          <w:rFonts w:asciiTheme="minorHAnsi" w:hAnsiTheme="minorHAnsi"/>
          <w:sz w:val="24"/>
          <w:szCs w:val="24"/>
          <w:lang w:eastAsia="fr-FR"/>
        </w:rPr>
        <w:t xml:space="preserve">de la mise en œuvre de la PNA </w:t>
      </w:r>
      <w:r w:rsidRPr="00A929CE">
        <w:rPr>
          <w:rFonts w:asciiTheme="minorHAnsi" w:hAnsiTheme="minorHAnsi"/>
          <w:sz w:val="24"/>
          <w:szCs w:val="24"/>
          <w:lang w:eastAsia="fr-FR"/>
        </w:rPr>
        <w:t>a souffert de</w:t>
      </w:r>
      <w:r>
        <w:rPr>
          <w:rFonts w:asciiTheme="minorHAnsi" w:hAnsiTheme="minorHAnsi"/>
          <w:sz w:val="24"/>
          <w:szCs w:val="24"/>
          <w:lang w:eastAsia="fr-FR"/>
        </w:rPr>
        <w:t xml:space="preserve"> la non mise en place des outils/organes nécessaires à un pilotage idoine des actions et activités devant concourir à l’atteinte des cibles prévues. La synergie entre les acteurs clés n’a pas été au rendez-vous, faute de coordination et de concertation permanente. L’efficacité de la mise en œuvre de la PNA a également souffert d’u</w:t>
      </w:r>
      <w:r w:rsidRPr="00A929CE">
        <w:rPr>
          <w:rFonts w:asciiTheme="minorHAnsi" w:hAnsiTheme="minorHAnsi"/>
          <w:sz w:val="24"/>
          <w:szCs w:val="24"/>
          <w:lang w:eastAsia="fr-FR"/>
        </w:rPr>
        <w:t>ne organisation non appropriée des activités</w:t>
      </w:r>
      <w:r>
        <w:rPr>
          <w:rFonts w:asciiTheme="minorHAnsi" w:hAnsiTheme="minorHAnsi"/>
          <w:sz w:val="24"/>
          <w:szCs w:val="24"/>
          <w:lang w:eastAsia="fr-FR"/>
        </w:rPr>
        <w:t xml:space="preserve">. </w:t>
      </w:r>
      <w:r w:rsidRPr="00A929CE">
        <w:rPr>
          <w:rFonts w:asciiTheme="minorHAnsi" w:hAnsiTheme="minorHAnsi"/>
          <w:sz w:val="24"/>
          <w:szCs w:val="24"/>
          <w:lang w:eastAsia="fr-FR"/>
        </w:rPr>
        <w:t xml:space="preserve">La mission pense qu’il est </w:t>
      </w:r>
      <w:r>
        <w:rPr>
          <w:rFonts w:asciiTheme="minorHAnsi" w:hAnsiTheme="minorHAnsi"/>
          <w:sz w:val="24"/>
          <w:szCs w:val="24"/>
          <w:lang w:eastAsia="fr-FR"/>
        </w:rPr>
        <w:t>difficile d</w:t>
      </w:r>
      <w:r w:rsidRPr="00A929CE">
        <w:rPr>
          <w:rFonts w:asciiTheme="minorHAnsi" w:hAnsiTheme="minorHAnsi"/>
          <w:sz w:val="24"/>
          <w:szCs w:val="24"/>
          <w:lang w:eastAsia="fr-FR"/>
        </w:rPr>
        <w:t>e mesurer l’efficacité d</w:t>
      </w:r>
      <w:r>
        <w:rPr>
          <w:rFonts w:asciiTheme="minorHAnsi" w:hAnsiTheme="minorHAnsi"/>
          <w:sz w:val="24"/>
          <w:szCs w:val="24"/>
          <w:lang w:eastAsia="fr-FR"/>
        </w:rPr>
        <w:t xml:space="preserve">e la mise en œuvre de la PNA </w:t>
      </w:r>
      <w:r w:rsidRPr="00A929CE">
        <w:rPr>
          <w:rFonts w:asciiTheme="minorHAnsi" w:hAnsiTheme="minorHAnsi"/>
          <w:sz w:val="24"/>
          <w:szCs w:val="24"/>
          <w:lang w:eastAsia="fr-FR"/>
        </w:rPr>
        <w:t xml:space="preserve">dans sa contribution </w:t>
      </w:r>
      <w:r>
        <w:rPr>
          <w:rFonts w:asciiTheme="minorHAnsi" w:hAnsiTheme="minorHAnsi"/>
          <w:sz w:val="24"/>
          <w:szCs w:val="24"/>
          <w:lang w:eastAsia="fr-FR"/>
        </w:rPr>
        <w:t>aux effets et impacts projetés dans le document PNA, q</w:t>
      </w:r>
      <w:r w:rsidRPr="00A929CE">
        <w:rPr>
          <w:rFonts w:asciiTheme="minorHAnsi" w:hAnsiTheme="minorHAnsi"/>
          <w:sz w:val="24"/>
          <w:szCs w:val="24"/>
          <w:lang w:eastAsia="fr-FR"/>
        </w:rPr>
        <w:t xml:space="preserve">uand bien même que sur le plan des réalisations d’infrastructures, un effort considérable ait été fait. Cette efficacité </w:t>
      </w:r>
      <w:r>
        <w:rPr>
          <w:rFonts w:asciiTheme="minorHAnsi" w:hAnsiTheme="minorHAnsi"/>
          <w:sz w:val="24"/>
          <w:szCs w:val="24"/>
          <w:lang w:eastAsia="fr-FR"/>
        </w:rPr>
        <w:t xml:space="preserve">aurait pu être </w:t>
      </w:r>
      <w:r w:rsidRPr="00A929CE">
        <w:rPr>
          <w:rFonts w:asciiTheme="minorHAnsi" w:hAnsiTheme="minorHAnsi"/>
          <w:sz w:val="24"/>
          <w:szCs w:val="24"/>
          <w:lang w:eastAsia="fr-FR"/>
        </w:rPr>
        <w:t xml:space="preserve">pleinement démontrée </w:t>
      </w:r>
      <w:r>
        <w:rPr>
          <w:rFonts w:asciiTheme="minorHAnsi" w:hAnsiTheme="minorHAnsi"/>
          <w:sz w:val="24"/>
          <w:szCs w:val="24"/>
          <w:lang w:eastAsia="fr-FR"/>
        </w:rPr>
        <w:t xml:space="preserve">si la </w:t>
      </w:r>
      <w:r w:rsidRPr="00A929CE">
        <w:rPr>
          <w:rFonts w:asciiTheme="minorHAnsi" w:hAnsiTheme="minorHAnsi"/>
          <w:sz w:val="24"/>
          <w:szCs w:val="24"/>
          <w:lang w:eastAsia="fr-FR"/>
        </w:rPr>
        <w:t xml:space="preserve">mise en </w:t>
      </w:r>
      <w:r>
        <w:rPr>
          <w:rFonts w:asciiTheme="minorHAnsi" w:hAnsiTheme="minorHAnsi"/>
          <w:sz w:val="24"/>
          <w:szCs w:val="24"/>
          <w:lang w:eastAsia="fr-FR"/>
        </w:rPr>
        <w:t xml:space="preserve">place des outils/organes avait été effective. En dépit de ces contraintes, les </w:t>
      </w:r>
      <w:r w:rsidRPr="004176C3">
        <w:rPr>
          <w:rFonts w:ascii="Tw Cen MT" w:hAnsi="Tw Cen MT" w:cstheme="minorHAnsi"/>
          <w:sz w:val="24"/>
          <w:szCs w:val="24"/>
          <w:lang w:eastAsia="fr-FR"/>
        </w:rPr>
        <w:t>les appréciations positives suivantes peuvent être formulées :</w:t>
      </w:r>
    </w:p>
    <w:p w:rsidR="00C33EAE" w:rsidRPr="00CB0681" w:rsidRDefault="00C33EAE" w:rsidP="00C33EAE">
      <w:pPr>
        <w:pStyle w:val="Sansinterligne"/>
        <w:numPr>
          <w:ilvl w:val="0"/>
          <w:numId w:val="24"/>
        </w:numPr>
        <w:spacing w:line="360" w:lineRule="auto"/>
        <w:jc w:val="both"/>
        <w:rPr>
          <w:rFonts w:ascii="Tw Cen MT" w:hAnsi="Tw Cen MT" w:cs="Tahoma"/>
          <w:sz w:val="24"/>
          <w:szCs w:val="24"/>
          <w:lang w:val="fr-CA"/>
        </w:rPr>
      </w:pPr>
      <w:r w:rsidRPr="00CB0681">
        <w:rPr>
          <w:rFonts w:ascii="Tw Cen MT" w:hAnsi="Tw Cen MT" w:cs="Tahoma"/>
          <w:sz w:val="24"/>
          <w:szCs w:val="24"/>
          <w:lang w:eastAsia="fr-FR"/>
        </w:rPr>
        <w:t>La mise en œuvre de l’approche ATPC (Assainissement Total Piloté par la Communauté) bien que n’étant pas consacrée par la Politique nationale, a contribué à l'amélioration du cadre de vie des populations en milieu rural. En effet, dans les zones où elle a été mise en œuvre, cette approche a donné</w:t>
      </w:r>
      <w:r w:rsidRPr="00CB0681">
        <w:rPr>
          <w:rFonts w:ascii="Tw Cen MT" w:hAnsi="Tw Cen MT" w:cs="Tahoma"/>
          <w:bCs/>
          <w:sz w:val="24"/>
          <w:szCs w:val="24"/>
          <w:lang w:eastAsia="fr-FR"/>
        </w:rPr>
        <w:t xml:space="preserve"> aux communautés concernées l’opportunité de prendre des décisions de manière collective en vue de mettre fin à la pratique de la défécation à l’air libre. Ainsi, entre 2</w:t>
      </w:r>
      <w:r w:rsidRPr="00CB0681">
        <w:rPr>
          <w:rFonts w:ascii="Tw Cen MT" w:hAnsi="Tw Cen MT" w:cs="Tahoma"/>
          <w:sz w:val="24"/>
          <w:szCs w:val="24"/>
          <w:lang w:eastAsia="fr-FR"/>
        </w:rPr>
        <w:t>009 et</w:t>
      </w:r>
      <w:r w:rsidRPr="00CB0681">
        <w:rPr>
          <w:rFonts w:ascii="Tw Cen MT" w:hAnsi="Tw Cen MT" w:cs="Tahoma"/>
          <w:sz w:val="24"/>
          <w:szCs w:val="24"/>
          <w:lang w:val="fr-CA"/>
        </w:rPr>
        <w:t xml:space="preserve"> 2014 les résultats suivants ont été enregistrés :</w:t>
      </w:r>
    </w:p>
    <w:p w:rsidR="00C33EAE" w:rsidRPr="00BA1D26" w:rsidRDefault="00C33EAE" w:rsidP="00C33EAE">
      <w:pPr>
        <w:pStyle w:val="Sansinterligne"/>
        <w:spacing w:line="360" w:lineRule="auto"/>
        <w:ind w:left="720"/>
        <w:jc w:val="both"/>
        <w:rPr>
          <w:rFonts w:ascii="Tw Cen MT" w:hAnsi="Tw Cen MT" w:cs="Tahoma"/>
          <w:sz w:val="24"/>
          <w:szCs w:val="24"/>
          <w:lang w:val="fr-CA"/>
        </w:rPr>
      </w:pPr>
    </w:p>
    <w:p w:rsidR="00C33EAE" w:rsidRPr="004176C3" w:rsidRDefault="00C33EAE" w:rsidP="00C33EAE">
      <w:pPr>
        <w:pStyle w:val="Paragraphedeliste"/>
        <w:numPr>
          <w:ilvl w:val="0"/>
          <w:numId w:val="25"/>
        </w:numPr>
        <w:spacing w:line="276" w:lineRule="auto"/>
        <w:jc w:val="both"/>
        <w:rPr>
          <w:rFonts w:ascii="Tw Cen MT" w:eastAsia="Times New Roman" w:hAnsi="Tw Cen MT" w:cs="Tahoma"/>
          <w:sz w:val="24"/>
          <w:szCs w:val="24"/>
          <w:lang w:eastAsia="fr-FR"/>
        </w:rPr>
      </w:pPr>
      <w:r w:rsidRPr="004176C3">
        <w:rPr>
          <w:rFonts w:ascii="Tw Cen MT" w:eastAsia="Times New Roman" w:hAnsi="Tw Cen MT" w:cs="Tahoma"/>
          <w:sz w:val="24"/>
          <w:szCs w:val="24"/>
          <w:lang w:eastAsia="fr-FR"/>
        </w:rPr>
        <w:t>2.228 villages totalisant 1.724.860 habitants ont acquis le statut de fin de défécation à l’air libre ;</w:t>
      </w:r>
    </w:p>
    <w:p w:rsidR="00C33EAE" w:rsidRPr="004176C3" w:rsidRDefault="00C33EAE" w:rsidP="00C33EAE">
      <w:pPr>
        <w:pStyle w:val="Paragraphedeliste"/>
        <w:numPr>
          <w:ilvl w:val="0"/>
          <w:numId w:val="25"/>
        </w:numPr>
        <w:spacing w:line="276" w:lineRule="auto"/>
        <w:jc w:val="both"/>
        <w:rPr>
          <w:rFonts w:ascii="Tw Cen MT" w:eastAsia="Times New Roman" w:hAnsi="Tw Cen MT" w:cs="Tahoma"/>
          <w:sz w:val="24"/>
          <w:szCs w:val="24"/>
          <w:lang w:eastAsia="fr-FR"/>
        </w:rPr>
      </w:pPr>
      <w:r w:rsidRPr="004176C3">
        <w:rPr>
          <w:rFonts w:ascii="Tw Cen MT" w:eastAsia="Times New Roman" w:hAnsi="Tw Cen MT" w:cs="Tahoma"/>
          <w:sz w:val="24"/>
          <w:szCs w:val="24"/>
          <w:lang w:eastAsia="fr-FR"/>
        </w:rPr>
        <w:t xml:space="preserve">2.106 villages totalisant 1.628.040 habitants ont été certifiés ; </w:t>
      </w:r>
    </w:p>
    <w:p w:rsidR="00C33EAE" w:rsidRPr="004176C3" w:rsidRDefault="00C33EAE" w:rsidP="00C33EAE">
      <w:pPr>
        <w:pStyle w:val="Paragraphedeliste"/>
        <w:numPr>
          <w:ilvl w:val="0"/>
          <w:numId w:val="25"/>
        </w:numPr>
        <w:spacing w:line="276" w:lineRule="auto"/>
        <w:jc w:val="both"/>
        <w:rPr>
          <w:rFonts w:ascii="Tw Cen MT" w:eastAsia="Times New Roman" w:hAnsi="Tw Cen MT" w:cs="Tahoma"/>
          <w:sz w:val="24"/>
          <w:szCs w:val="24"/>
          <w:lang w:eastAsia="fr-FR"/>
        </w:rPr>
      </w:pPr>
      <w:r w:rsidRPr="004176C3">
        <w:rPr>
          <w:rFonts w:ascii="Tw Cen MT" w:eastAsia="Times New Roman" w:hAnsi="Tw Cen MT" w:cs="Tahoma"/>
          <w:sz w:val="24"/>
          <w:szCs w:val="24"/>
          <w:lang w:eastAsia="fr-FR"/>
        </w:rPr>
        <w:t>216.839 latrines ont été construites ;</w:t>
      </w:r>
    </w:p>
    <w:p w:rsidR="00C33EAE" w:rsidRPr="004176C3" w:rsidRDefault="00C33EAE" w:rsidP="00C33EAE">
      <w:pPr>
        <w:pStyle w:val="Paragraphedeliste"/>
        <w:numPr>
          <w:ilvl w:val="0"/>
          <w:numId w:val="25"/>
        </w:numPr>
        <w:spacing w:line="276" w:lineRule="auto"/>
        <w:jc w:val="both"/>
        <w:rPr>
          <w:rFonts w:ascii="Tw Cen MT" w:eastAsia="Times New Roman" w:hAnsi="Tw Cen MT" w:cs="Tahoma"/>
          <w:sz w:val="24"/>
          <w:szCs w:val="24"/>
          <w:lang w:eastAsia="fr-FR"/>
        </w:rPr>
      </w:pPr>
      <w:r w:rsidRPr="004176C3">
        <w:rPr>
          <w:rFonts w:ascii="Tw Cen MT" w:eastAsia="Times New Roman" w:hAnsi="Tw Cen MT" w:cs="Tahoma"/>
          <w:sz w:val="24"/>
          <w:szCs w:val="24"/>
          <w:lang w:eastAsia="fr-FR"/>
        </w:rPr>
        <w:t>27.452 latrines réhabilitées ;</w:t>
      </w:r>
    </w:p>
    <w:p w:rsidR="00C33EAE" w:rsidRPr="004176C3" w:rsidRDefault="00C33EAE" w:rsidP="00C33EAE">
      <w:pPr>
        <w:pStyle w:val="Paragraphedeliste"/>
        <w:numPr>
          <w:ilvl w:val="0"/>
          <w:numId w:val="25"/>
        </w:numPr>
        <w:spacing w:line="276" w:lineRule="auto"/>
        <w:jc w:val="both"/>
        <w:rPr>
          <w:rFonts w:ascii="Tw Cen MT" w:eastAsia="Times New Roman" w:hAnsi="Tw Cen MT" w:cs="Tahoma"/>
          <w:sz w:val="24"/>
          <w:szCs w:val="24"/>
          <w:lang w:eastAsia="fr-FR"/>
        </w:rPr>
      </w:pPr>
      <w:r w:rsidRPr="004176C3">
        <w:rPr>
          <w:rFonts w:ascii="Tw Cen MT" w:eastAsia="Times New Roman" w:hAnsi="Tw Cen MT" w:cs="Tahoma"/>
          <w:sz w:val="24"/>
          <w:szCs w:val="24"/>
          <w:lang w:eastAsia="fr-FR"/>
        </w:rPr>
        <w:t xml:space="preserve">47.320 latrines ont été équipées de dispositif de lave-mains. </w:t>
      </w:r>
    </w:p>
    <w:p w:rsidR="00C33EAE" w:rsidRPr="002560DE" w:rsidRDefault="00C33EAE" w:rsidP="00C33EAE">
      <w:pPr>
        <w:rPr>
          <w:rFonts w:ascii="Tw Cen MT" w:hAnsi="Tw Cen MT" w:cs="Tahoma"/>
          <w:sz w:val="24"/>
          <w:szCs w:val="24"/>
          <w:highlight w:val="cyan"/>
        </w:rPr>
      </w:pPr>
    </w:p>
    <w:p w:rsidR="00C33EAE" w:rsidRPr="00BA1D26" w:rsidRDefault="00C33EAE" w:rsidP="00C33EAE">
      <w:pPr>
        <w:pStyle w:val="Paragraphedeliste"/>
        <w:numPr>
          <w:ilvl w:val="0"/>
          <w:numId w:val="24"/>
        </w:numPr>
        <w:spacing w:line="276" w:lineRule="auto"/>
        <w:jc w:val="both"/>
        <w:rPr>
          <w:rFonts w:ascii="Tw Cen MT" w:hAnsi="Tw Cen MT" w:cs="Tahoma"/>
          <w:sz w:val="24"/>
          <w:szCs w:val="24"/>
        </w:rPr>
      </w:pPr>
      <w:r w:rsidRPr="00BA1D26">
        <w:rPr>
          <w:rFonts w:ascii="Tw Cen MT" w:hAnsi="Tw Cen MT" w:cs="Tahoma"/>
          <w:sz w:val="24"/>
          <w:szCs w:val="24"/>
        </w:rPr>
        <w:t>La tenue régulière depuis plusieurs années de la revue des acteurs du secteur a fait de ce cadre de concertation l’un des plus dynamiques qui existent au Mali. Cette plateforme de concertation permet aux diverses parties prenantes d’échanger des informations, de capitaliser les acquis et de surmonter les contraintes en engageant avec le Gouvernement un dialogue politique sur une base constructive ;</w:t>
      </w:r>
    </w:p>
    <w:p w:rsidR="00C33EAE" w:rsidRPr="00BA1D26" w:rsidRDefault="00C33EAE" w:rsidP="00C33EAE">
      <w:pPr>
        <w:pStyle w:val="Paragraphedeliste"/>
        <w:jc w:val="both"/>
        <w:rPr>
          <w:rFonts w:ascii="Tw Cen MT" w:hAnsi="Tw Cen MT" w:cs="Tahoma"/>
          <w:sz w:val="24"/>
          <w:szCs w:val="24"/>
        </w:rPr>
      </w:pPr>
    </w:p>
    <w:p w:rsidR="00C33EAE" w:rsidRPr="00BA1D26" w:rsidRDefault="00C33EAE" w:rsidP="00C33EAE">
      <w:pPr>
        <w:pStyle w:val="Paragraphedeliste"/>
        <w:numPr>
          <w:ilvl w:val="0"/>
          <w:numId w:val="24"/>
        </w:numPr>
        <w:spacing w:line="276" w:lineRule="auto"/>
        <w:jc w:val="both"/>
        <w:rPr>
          <w:rFonts w:ascii="Tw Cen MT" w:hAnsi="Tw Cen MT" w:cs="Tahoma"/>
          <w:sz w:val="24"/>
          <w:szCs w:val="24"/>
        </w:rPr>
      </w:pPr>
      <w:r w:rsidRPr="00BA1D26">
        <w:rPr>
          <w:rFonts w:ascii="Tw Cen MT" w:hAnsi="Tw Cen MT" w:cs="Tahoma"/>
          <w:sz w:val="24"/>
          <w:szCs w:val="24"/>
        </w:rPr>
        <w:t>La mise en place de l’ANGESEM et corrélativement la construction de plusieurs stations d’épuration des eaux usées ont permis d’améliorer la gestion des déchets liquides. Mieux, elles ont jeté les bases d’un passage progressif d’un système d’assainissement individuel vers un système d’assainissement collectif. Ces initiatives gagneraient davantage en efficacité si elles étaient mises en relation avec le processus de décentralisation en cours dans le pays ;</w:t>
      </w:r>
    </w:p>
    <w:p w:rsidR="00C33EAE" w:rsidRDefault="00C33EAE" w:rsidP="00C33EAE">
      <w:pPr>
        <w:pStyle w:val="BodyText"/>
        <w:spacing w:line="360" w:lineRule="auto"/>
        <w:rPr>
          <w:rFonts w:asciiTheme="minorHAnsi" w:hAnsiTheme="minorHAnsi" w:cstheme="minorHAnsi"/>
          <w:sz w:val="24"/>
          <w:szCs w:val="24"/>
        </w:rPr>
      </w:pPr>
    </w:p>
    <w:p w:rsidR="00C33EAE" w:rsidRDefault="00C33EAE" w:rsidP="00C33EAE">
      <w:pPr>
        <w:pStyle w:val="BodyText"/>
        <w:spacing w:line="360" w:lineRule="auto"/>
        <w:rPr>
          <w:rFonts w:asciiTheme="minorHAnsi" w:hAnsiTheme="minorHAnsi" w:cstheme="minorHAnsi"/>
          <w:sz w:val="24"/>
          <w:szCs w:val="24"/>
        </w:rPr>
      </w:pPr>
      <w:r w:rsidRPr="0022409F">
        <w:rPr>
          <w:rFonts w:asciiTheme="minorHAnsi" w:hAnsiTheme="minorHAnsi" w:cstheme="minorHAnsi"/>
          <w:sz w:val="24"/>
          <w:szCs w:val="24"/>
        </w:rPr>
        <w:t>Au-delà de ces acquis,</w:t>
      </w:r>
      <w:r w:rsidR="007B1968">
        <w:rPr>
          <w:rFonts w:asciiTheme="minorHAnsi" w:hAnsiTheme="minorHAnsi" w:cstheme="minorHAnsi"/>
          <w:sz w:val="24"/>
          <w:szCs w:val="24"/>
        </w:rPr>
        <w:t xml:space="preserve"> </w:t>
      </w:r>
      <w:r w:rsidRPr="00305208">
        <w:rPr>
          <w:rFonts w:asciiTheme="minorHAnsi" w:hAnsiTheme="minorHAnsi" w:cstheme="minorHAnsi"/>
          <w:sz w:val="24"/>
          <w:szCs w:val="24"/>
        </w:rPr>
        <w:t>bien que d’énormes efforts ont été consentis par la majorité des acteurs du sous-secte</w:t>
      </w:r>
      <w:r w:rsidRPr="00112EE9">
        <w:rPr>
          <w:rFonts w:asciiTheme="minorHAnsi" w:hAnsiTheme="minorHAnsi" w:cstheme="minorHAnsi"/>
          <w:sz w:val="24"/>
          <w:szCs w:val="24"/>
        </w:rPr>
        <w:t xml:space="preserve">ur pour rehausser le niveau de satisfaction des populations en matière d’accès aux ouvrages d’assainissement adéquat, le taux d’accès à un assainissement amélioré n’a pas répondu aux objectifs fixés dans le cadre des OMD. </w:t>
      </w:r>
      <w:r>
        <w:rPr>
          <w:rFonts w:asciiTheme="minorHAnsi" w:hAnsiTheme="minorHAnsi" w:cstheme="minorHAnsi"/>
          <w:sz w:val="24"/>
          <w:szCs w:val="24"/>
        </w:rPr>
        <w:t>Cette faiblesse serait imputable aux facteurs suivants :</w:t>
      </w:r>
    </w:p>
    <w:p w:rsidR="00C33EAE" w:rsidRDefault="00C33EAE" w:rsidP="00C33EAE">
      <w:pPr>
        <w:pStyle w:val="BodyText"/>
        <w:numPr>
          <w:ilvl w:val="0"/>
          <w:numId w:val="75"/>
        </w:numPr>
        <w:spacing w:line="360" w:lineRule="auto"/>
        <w:rPr>
          <w:rFonts w:asciiTheme="minorHAnsi" w:hAnsiTheme="minorHAnsi" w:cstheme="minorHAnsi"/>
          <w:sz w:val="24"/>
          <w:szCs w:val="24"/>
        </w:rPr>
      </w:pPr>
      <w:r>
        <w:rPr>
          <w:rFonts w:asciiTheme="minorHAnsi" w:hAnsiTheme="minorHAnsi" w:cstheme="minorHAnsi"/>
          <w:sz w:val="24"/>
          <w:szCs w:val="24"/>
        </w:rPr>
        <w:t xml:space="preserve">L’absence d’un </w:t>
      </w:r>
      <w:r w:rsidRPr="00112EE9">
        <w:rPr>
          <w:rFonts w:asciiTheme="minorHAnsi" w:hAnsiTheme="minorHAnsi" w:cstheme="minorHAnsi"/>
          <w:sz w:val="24"/>
          <w:szCs w:val="24"/>
        </w:rPr>
        <w:t xml:space="preserve">cadre organisationnel approprié </w:t>
      </w:r>
      <w:r>
        <w:rPr>
          <w:rFonts w:asciiTheme="minorHAnsi" w:hAnsiTheme="minorHAnsi" w:cstheme="minorHAnsi"/>
          <w:sz w:val="24"/>
          <w:szCs w:val="24"/>
        </w:rPr>
        <w:t>qui devait impulser les actions en fédérant les acteurs ;</w:t>
      </w:r>
    </w:p>
    <w:p w:rsidR="00C33EAE" w:rsidRPr="00BA1D26" w:rsidRDefault="00C33EAE" w:rsidP="00C33EAE">
      <w:pPr>
        <w:pStyle w:val="Paragraphedeliste"/>
        <w:numPr>
          <w:ilvl w:val="0"/>
          <w:numId w:val="24"/>
        </w:numPr>
        <w:spacing w:line="276" w:lineRule="auto"/>
        <w:jc w:val="both"/>
        <w:rPr>
          <w:rFonts w:ascii="Tw Cen MT" w:hAnsi="Tw Cen MT" w:cs="Tahoma"/>
          <w:sz w:val="24"/>
          <w:szCs w:val="24"/>
        </w:rPr>
      </w:pPr>
      <w:r w:rsidRPr="00BA1D26">
        <w:rPr>
          <w:rFonts w:ascii="Tw Cen MT" w:hAnsi="Tw Cen MT" w:cs="Tahoma"/>
          <w:sz w:val="24"/>
          <w:szCs w:val="24"/>
        </w:rPr>
        <w:t>La faible viabilité économique et financière des Collectivités territoires conjuguée au caractère incomplet du transfert des compétences n’a pas permis à celle-ci de dégager des ressources financières qui sont à la hauteur des défis et enjeux de l’assainissement au Mali ;</w:t>
      </w:r>
    </w:p>
    <w:p w:rsidR="00C33EAE" w:rsidRPr="00BA1D26" w:rsidRDefault="00C33EAE" w:rsidP="00C33EAE">
      <w:pPr>
        <w:pStyle w:val="Paragraphedeliste"/>
        <w:jc w:val="both"/>
        <w:rPr>
          <w:rFonts w:ascii="Tw Cen MT" w:hAnsi="Tw Cen MT" w:cs="Tahoma"/>
          <w:sz w:val="24"/>
          <w:szCs w:val="24"/>
        </w:rPr>
      </w:pPr>
    </w:p>
    <w:p w:rsidR="00C33EAE" w:rsidRPr="00BA1D26" w:rsidRDefault="00C33EAE" w:rsidP="00C33EAE">
      <w:pPr>
        <w:pStyle w:val="Paragraphedeliste"/>
        <w:numPr>
          <w:ilvl w:val="0"/>
          <w:numId w:val="24"/>
        </w:numPr>
        <w:spacing w:line="276" w:lineRule="auto"/>
        <w:jc w:val="both"/>
        <w:rPr>
          <w:rFonts w:ascii="Tw Cen MT" w:hAnsi="Tw Cen MT" w:cs="Tahoma"/>
          <w:sz w:val="24"/>
          <w:szCs w:val="24"/>
        </w:rPr>
      </w:pPr>
      <w:r w:rsidRPr="00BA1D26">
        <w:rPr>
          <w:rFonts w:ascii="Tw Cen MT" w:eastAsia="MBembo--Identity-H" w:hAnsi="Tw Cen MT" w:cs="Tahoma"/>
          <w:sz w:val="24"/>
          <w:szCs w:val="24"/>
        </w:rPr>
        <w:t>Le faible niveau d’équipement des OSC et du secteur privé marchand intervenant dans le sous-secteur de l’assainissement, et leur non implication dans le débat sur le transfert des compétences, ont limité leur capacité à renforcer leurs interventions dans les proportions qui correspondent à l’importance des défis en présence.</w:t>
      </w:r>
    </w:p>
    <w:p w:rsidR="00C33EAE" w:rsidRDefault="00C33EAE" w:rsidP="00D54C69">
      <w:pPr>
        <w:pStyle w:val="Titre3"/>
      </w:pPr>
      <w:bookmarkStart w:id="67" w:name="_Toc536448605"/>
      <w:r w:rsidRPr="00A929CE">
        <w:t>L’efficience</w:t>
      </w:r>
      <w:bookmarkEnd w:id="67"/>
      <w:r w:rsidRPr="00A929CE">
        <w:t> </w:t>
      </w:r>
    </w:p>
    <w:p w:rsidR="00E875A7" w:rsidRPr="00F0528A" w:rsidRDefault="00E875A7" w:rsidP="00E875A7">
      <w:pPr>
        <w:pStyle w:val="BodyText"/>
      </w:pPr>
      <w:r w:rsidRPr="00F0528A">
        <w:t>L’efficience est « la mesure selon laquelle les moyens sont convertis en résultats de façon économe ».</w:t>
      </w:r>
    </w:p>
    <w:p w:rsidR="00E875A7" w:rsidRPr="00F0528A" w:rsidRDefault="00E875A7" w:rsidP="00E875A7">
      <w:pPr>
        <w:pStyle w:val="BodyText"/>
      </w:pPr>
      <w:r w:rsidRPr="00F0528A">
        <w:t>L’évaluation de l’efficience prend en compte les points suivants :</w:t>
      </w:r>
    </w:p>
    <w:p w:rsidR="00E875A7" w:rsidRPr="00E875A7" w:rsidRDefault="00E875A7" w:rsidP="00D54C69">
      <w:pPr>
        <w:pStyle w:val="BodyText"/>
        <w:numPr>
          <w:ilvl w:val="0"/>
          <w:numId w:val="77"/>
        </w:numPr>
      </w:pPr>
      <w:r w:rsidRPr="00E875A7">
        <w:t xml:space="preserve">Les activités étaient-elles efficientes par rapport à leur coût ? </w:t>
      </w:r>
    </w:p>
    <w:p w:rsidR="00E875A7" w:rsidRPr="00E875A7" w:rsidRDefault="00E875A7" w:rsidP="00D54C69">
      <w:pPr>
        <w:pStyle w:val="BodyText"/>
        <w:numPr>
          <w:ilvl w:val="0"/>
          <w:numId w:val="77"/>
        </w:numPr>
      </w:pPr>
      <w:r w:rsidRPr="00E875A7">
        <w:t xml:space="preserve">Les objectifs ont-ils été atteints dans les délais prévus ? </w:t>
      </w:r>
    </w:p>
    <w:p w:rsidR="00E875A7" w:rsidRPr="00AF74B4" w:rsidRDefault="00E875A7" w:rsidP="00D54C69">
      <w:pPr>
        <w:pStyle w:val="BodyText"/>
        <w:numPr>
          <w:ilvl w:val="0"/>
          <w:numId w:val="77"/>
        </w:numPr>
      </w:pPr>
      <w:r w:rsidRPr="00E875A7">
        <w:t>La politique</w:t>
      </w:r>
      <w:r w:rsidR="007B1968">
        <w:t xml:space="preserve"> </w:t>
      </w:r>
      <w:r w:rsidRPr="00AF74B4">
        <w:t>a-t-</w:t>
      </w:r>
      <w:r>
        <w:t>elle</w:t>
      </w:r>
      <w:r w:rsidRPr="00AF74B4">
        <w:t xml:space="preserve"> été mis</w:t>
      </w:r>
      <w:r>
        <w:t>e</w:t>
      </w:r>
      <w:r w:rsidRPr="00AF74B4">
        <w:t xml:space="preserve"> en œuvre dans les meilleures conditions d’efficience au vu des autres possibilités existantes ?</w:t>
      </w:r>
    </w:p>
    <w:p w:rsidR="00C33EAE" w:rsidRPr="00A929CE" w:rsidRDefault="00C33EAE" w:rsidP="00C33EAE">
      <w:pPr>
        <w:pStyle w:val="Default"/>
        <w:pBdr>
          <w:bottom w:val="single" w:sz="4" w:space="1" w:color="auto"/>
        </w:pBdr>
        <w:spacing w:line="360" w:lineRule="auto"/>
        <w:jc w:val="both"/>
        <w:rPr>
          <w:rFonts w:asciiTheme="minorHAnsi" w:hAnsiTheme="minorHAnsi" w:cs="Arial"/>
          <w:lang w:eastAsia="fr-FR"/>
        </w:rPr>
      </w:pPr>
      <w:r w:rsidRPr="00A929CE">
        <w:rPr>
          <w:rFonts w:asciiTheme="minorHAnsi" w:hAnsiTheme="minorHAnsi" w:cs="Arial"/>
          <w:lang w:eastAsia="fr-FR"/>
        </w:rPr>
        <w:t>L’</w:t>
      </w:r>
      <w:r w:rsidRPr="00A929CE">
        <w:rPr>
          <w:rFonts w:asciiTheme="minorHAnsi" w:hAnsiTheme="minorHAnsi" w:cs="Arial"/>
          <w:b/>
          <w:lang w:eastAsia="fr-FR"/>
        </w:rPr>
        <w:t>efficience</w:t>
      </w:r>
      <w:r w:rsidRPr="00A929CE">
        <w:rPr>
          <w:rFonts w:asciiTheme="minorHAnsi" w:hAnsiTheme="minorHAnsi" w:cs="Arial"/>
          <w:lang w:eastAsia="fr-FR"/>
        </w:rPr>
        <w:t xml:space="preserve"> d</w:t>
      </w:r>
      <w:r w:rsidRPr="00A929CE">
        <w:rPr>
          <w:rFonts w:asciiTheme="minorHAnsi" w:hAnsiTheme="minorHAnsi"/>
          <w:lang w:eastAsia="fr-FR"/>
        </w:rPr>
        <w:t xml:space="preserve">ans </w:t>
      </w:r>
      <w:r w:rsidRPr="00A929CE">
        <w:rPr>
          <w:rFonts w:asciiTheme="minorHAnsi" w:hAnsiTheme="minorHAnsi" w:cs="Arial"/>
          <w:lang w:eastAsia="fr-FR"/>
        </w:rPr>
        <w:t>la gestion d</w:t>
      </w:r>
      <w:r w:rsidRPr="00A929CE">
        <w:rPr>
          <w:rFonts w:asciiTheme="minorHAnsi" w:hAnsiTheme="minorHAnsi"/>
          <w:lang w:eastAsia="fr-FR"/>
        </w:rPr>
        <w:t>e la mise en œuvre de la PNA reste un exercice difficile, car plusieurs projets et programmes concourent de fait à sa mise en œuvre. Les données financières nécessaires à l’</w:t>
      </w:r>
      <w:r w:rsidRPr="00112EE9">
        <w:rPr>
          <w:rFonts w:asciiTheme="minorHAnsi" w:hAnsiTheme="minorHAnsi"/>
          <w:lang w:eastAsia="fr-FR"/>
        </w:rPr>
        <w:t xml:space="preserve">analyse </w:t>
      </w:r>
      <w:r w:rsidRPr="00A929CE">
        <w:rPr>
          <w:rFonts w:asciiTheme="minorHAnsi" w:hAnsiTheme="minorHAnsi"/>
          <w:lang w:eastAsia="fr-FR"/>
        </w:rPr>
        <w:t xml:space="preserve">ne sont pas toujours disponibles. </w:t>
      </w:r>
      <w:r>
        <w:rPr>
          <w:rFonts w:asciiTheme="minorHAnsi" w:hAnsiTheme="minorHAnsi"/>
          <w:lang w:eastAsia="fr-FR"/>
        </w:rPr>
        <w:t xml:space="preserve">Seul le rapport Trackfin offre des données permettant une analyse. </w:t>
      </w:r>
      <w:r w:rsidRPr="00A929CE">
        <w:rPr>
          <w:rFonts w:asciiTheme="minorHAnsi" w:hAnsiTheme="minorHAnsi"/>
          <w:lang w:eastAsia="fr-FR"/>
        </w:rPr>
        <w:t xml:space="preserve">Selon ce rapport, </w:t>
      </w:r>
      <w:r w:rsidRPr="00A929CE">
        <w:rPr>
          <w:rFonts w:asciiTheme="minorHAnsi" w:hAnsiTheme="minorHAnsi"/>
        </w:rPr>
        <w:t>L’analyse des données collectées a établi que le total des dépenses du secteur eau et assainissement passe de 45 milliards de F CFA en 2012 à 82 milliards de F CFA en 2014</w:t>
      </w:r>
      <w:r>
        <w:rPr>
          <w:rFonts w:asciiTheme="minorHAnsi" w:hAnsiTheme="minorHAnsi"/>
        </w:rPr>
        <w:t>. On constate u</w:t>
      </w:r>
      <w:r w:rsidRPr="00A929CE">
        <w:rPr>
          <w:rFonts w:asciiTheme="minorHAnsi" w:hAnsiTheme="minorHAnsi"/>
        </w:rPr>
        <w:t xml:space="preserve">ne nette progression continue sur la période </w:t>
      </w:r>
      <w:r>
        <w:rPr>
          <w:rFonts w:asciiTheme="minorHAnsi" w:hAnsiTheme="minorHAnsi"/>
        </w:rPr>
        <w:t xml:space="preserve">qui est de </w:t>
      </w:r>
      <w:r w:rsidRPr="00A929CE">
        <w:rPr>
          <w:rFonts w:asciiTheme="minorHAnsi" w:hAnsiTheme="minorHAnsi"/>
        </w:rPr>
        <w:t xml:space="preserve">80% </w:t>
      </w:r>
      <w:r>
        <w:rPr>
          <w:rFonts w:asciiTheme="minorHAnsi" w:hAnsiTheme="minorHAnsi"/>
        </w:rPr>
        <w:t xml:space="preserve">à partir de </w:t>
      </w:r>
      <w:r w:rsidRPr="00A929CE">
        <w:rPr>
          <w:rFonts w:asciiTheme="minorHAnsi" w:hAnsiTheme="minorHAnsi"/>
        </w:rPr>
        <w:t xml:space="preserve">2012. </w:t>
      </w:r>
      <w:r>
        <w:rPr>
          <w:rFonts w:asciiTheme="minorHAnsi" w:hAnsiTheme="minorHAnsi"/>
        </w:rPr>
        <w:t xml:space="preserve">Les </w:t>
      </w:r>
      <w:r w:rsidRPr="00A929CE">
        <w:rPr>
          <w:rFonts w:asciiTheme="minorHAnsi" w:hAnsiTheme="minorHAnsi"/>
        </w:rPr>
        <w:t>dépenses annuelles par habitant sont passées de 2.781 F CFA (5,45 US$) en 2012 à 4.735 F CFA (9,56 US$) en 2014, ce qui montre également une progression importante (70%), mais moindre par rapport aux dépenses totales du fait de la croissance démographique. Enfin, la part des dépenses dans le secteur par rapport au PIB demeure en dessous de 2%, allant de 0,86% en 2012 à 1,73% en 2014, très en deçà de la part des dépenses de santé qui était de 6,99% en 2014</w:t>
      </w:r>
      <w:r>
        <w:rPr>
          <w:rFonts w:asciiTheme="minorHAnsi" w:hAnsiTheme="minorHAnsi"/>
        </w:rPr>
        <w:t>. L</w:t>
      </w:r>
      <w:r w:rsidRPr="00A929CE">
        <w:rPr>
          <w:rFonts w:asciiTheme="minorHAnsi" w:hAnsiTheme="minorHAnsi"/>
        </w:rPr>
        <w:t xml:space="preserve">a répartition des dépenses par sous-secteur, montre qu’une très large proportion des dépenses est destinée au sous-secteur de l’eau (environ 81% en 2014) par rapport à l’assainissement des déchets liquides (7% en 2014) et à l’assainissement des déchets solides (moins de 2% en 2014). </w:t>
      </w:r>
    </w:p>
    <w:p w:rsidR="00C33EAE" w:rsidRPr="00112EE9" w:rsidRDefault="00C33EAE" w:rsidP="00C33EAE">
      <w:pPr>
        <w:pStyle w:val="BodyText"/>
        <w:pBdr>
          <w:bottom w:val="single" w:sz="4" w:space="1" w:color="auto"/>
        </w:pBdr>
        <w:spacing w:line="360" w:lineRule="auto"/>
        <w:rPr>
          <w:rFonts w:asciiTheme="minorHAnsi" w:hAnsiTheme="minorHAnsi"/>
          <w:sz w:val="24"/>
          <w:szCs w:val="24"/>
        </w:rPr>
      </w:pPr>
    </w:p>
    <w:p w:rsidR="00C33EAE" w:rsidRDefault="00C33EAE" w:rsidP="00D54C69">
      <w:pPr>
        <w:pStyle w:val="Titre3"/>
      </w:pPr>
      <w:bookmarkStart w:id="68" w:name="_Toc536448606"/>
      <w:r w:rsidRPr="00A929CE">
        <w:t>Les effets et impacts</w:t>
      </w:r>
      <w:bookmarkEnd w:id="68"/>
      <w:r w:rsidRPr="00A929CE">
        <w:t> </w:t>
      </w:r>
    </w:p>
    <w:p w:rsidR="00E875A7" w:rsidRPr="00F0528A" w:rsidRDefault="00E875A7" w:rsidP="00E875A7">
      <w:pPr>
        <w:pStyle w:val="BodyText"/>
        <w:spacing w:line="360" w:lineRule="auto"/>
        <w:rPr>
          <w:rFonts w:asciiTheme="minorHAnsi" w:hAnsiTheme="minorHAnsi"/>
          <w:sz w:val="24"/>
          <w:szCs w:val="24"/>
        </w:rPr>
      </w:pPr>
      <w:r w:rsidRPr="00F0528A">
        <w:rPr>
          <w:rFonts w:asciiTheme="minorHAnsi" w:hAnsiTheme="minorHAnsi"/>
          <w:sz w:val="24"/>
          <w:szCs w:val="24"/>
        </w:rPr>
        <w:t xml:space="preserve">L’impact traduit « les différents effets positifs et négatifs des actions sur un environnement externe plus large et sa contribution aux objectifs sectoriels contenus dans les objectifs globaux de la politique ainsi que sur la réalisation des objectifs </w:t>
      </w:r>
      <w:r>
        <w:rPr>
          <w:rFonts w:asciiTheme="minorHAnsi" w:hAnsiTheme="minorHAnsi"/>
          <w:sz w:val="24"/>
          <w:szCs w:val="24"/>
        </w:rPr>
        <w:t xml:space="preserve">des </w:t>
      </w:r>
      <w:r w:rsidRPr="00F0528A">
        <w:rPr>
          <w:rFonts w:asciiTheme="minorHAnsi" w:hAnsiTheme="minorHAnsi"/>
          <w:sz w:val="24"/>
          <w:szCs w:val="24"/>
        </w:rPr>
        <w:t xml:space="preserve">politiques cadres ».La viabilité analyse « la mesure dans laquelle les conséquences positives au niveau des objectifs spécifiques sont susceptibles de continuer une fois que les financements externes ont pris fin ». </w:t>
      </w:r>
    </w:p>
    <w:p w:rsidR="00C33EAE" w:rsidRPr="00DF47E6" w:rsidRDefault="00C33EAE" w:rsidP="00C33EAE">
      <w:pPr>
        <w:pStyle w:val="BodyText"/>
        <w:spacing w:line="360" w:lineRule="auto"/>
        <w:rPr>
          <w:rFonts w:asciiTheme="minorHAnsi" w:hAnsiTheme="minorHAnsi" w:cstheme="minorHAnsi"/>
          <w:sz w:val="24"/>
          <w:szCs w:val="24"/>
        </w:rPr>
      </w:pPr>
      <w:r w:rsidRPr="00DF47E6">
        <w:rPr>
          <w:rFonts w:asciiTheme="minorHAnsi" w:hAnsiTheme="minorHAnsi" w:cstheme="minorHAnsi"/>
          <w:sz w:val="24"/>
          <w:szCs w:val="24"/>
        </w:rPr>
        <w:t xml:space="preserve">Faute d’une situation de référence établie, il est difficile d’évaluer les effets et impacts engendrés par la mise en œuvre de la PNA et de ses stratégies sous-sectorielles. Cependant, on peut supputer des effets et impacts induits par les réalisations d’ouvrages dans le cadre de la mise de la PNA et de ses stratégies sous-sectorielles. Des statistiques fiables couplées avec une situation de référence en matière d’assainissement au niveau nationale, auraient permis une juste appréciation des effets et impacts induits. </w:t>
      </w:r>
      <w:r w:rsidRPr="00DF47E6">
        <w:rPr>
          <w:rFonts w:asciiTheme="minorHAnsi" w:hAnsiTheme="minorHAnsi" w:cstheme="minorHAnsi"/>
          <w:color w:val="000000" w:themeColor="text1"/>
          <w:sz w:val="24"/>
          <w:szCs w:val="24"/>
        </w:rPr>
        <w:t xml:space="preserve">Ce handicap </w:t>
      </w:r>
      <w:r w:rsidRPr="00DF47E6">
        <w:rPr>
          <w:rFonts w:asciiTheme="minorHAnsi" w:hAnsiTheme="minorHAnsi" w:cstheme="minorHAnsi"/>
          <w:bCs/>
          <w:sz w:val="24"/>
          <w:szCs w:val="24"/>
          <w:lang w:eastAsia="en-GB"/>
        </w:rPr>
        <w:t xml:space="preserve">a pesé négativement sur la concrétisation de la vision commune de l’assainissement telle qu’elle est définie par la PNA. </w:t>
      </w:r>
    </w:p>
    <w:p w:rsidR="00C33EAE" w:rsidRPr="00DF47E6" w:rsidRDefault="00C33EAE" w:rsidP="00D54C69">
      <w:pPr>
        <w:pStyle w:val="Titre3"/>
      </w:pPr>
      <w:bookmarkStart w:id="69" w:name="_Toc536448607"/>
      <w:r w:rsidRPr="00DF47E6">
        <w:t>La durabilité/viabilité</w:t>
      </w:r>
      <w:bookmarkEnd w:id="69"/>
      <w:r w:rsidRPr="00DF47E6">
        <w:t> </w:t>
      </w:r>
    </w:p>
    <w:p w:rsidR="00C33EAE" w:rsidRDefault="00C33EAE" w:rsidP="00C33EAE">
      <w:pPr>
        <w:pStyle w:val="BodyText"/>
        <w:spacing w:line="360" w:lineRule="auto"/>
        <w:rPr>
          <w:rFonts w:asciiTheme="minorHAnsi" w:hAnsiTheme="minorHAnsi"/>
          <w:sz w:val="24"/>
          <w:szCs w:val="24"/>
        </w:rPr>
      </w:pPr>
      <w:r w:rsidRPr="00DF47E6">
        <w:rPr>
          <w:rFonts w:asciiTheme="minorHAnsi" w:hAnsiTheme="minorHAnsi"/>
          <w:sz w:val="24"/>
          <w:szCs w:val="24"/>
        </w:rPr>
        <w:t xml:space="preserve">L’appréciation physique des ouvrages devrait permettre de statuer sur l’aspect de durabilité/viabilité. S’agissant d’une politique traduisant une vision globale et nationale, il n’est aisé d’avoir une opinion sur cet aspect concerné (qui est un critère important d’évaluation) sans avoir établie cette appréciation physique. </w:t>
      </w:r>
    </w:p>
    <w:p w:rsidR="00C33EAE" w:rsidRPr="00112EE9" w:rsidRDefault="00C33EAE" w:rsidP="00C33EAE">
      <w:pPr>
        <w:pStyle w:val="BodyText"/>
        <w:spacing w:line="360" w:lineRule="auto"/>
        <w:rPr>
          <w:rFonts w:asciiTheme="minorHAnsi" w:hAnsiTheme="minorHAnsi"/>
          <w:sz w:val="24"/>
          <w:szCs w:val="24"/>
        </w:rPr>
      </w:pPr>
      <w:r>
        <w:rPr>
          <w:rFonts w:asciiTheme="minorHAnsi" w:hAnsiTheme="minorHAnsi"/>
          <w:sz w:val="24"/>
          <w:szCs w:val="24"/>
        </w:rPr>
        <w:t>L’assainissement étant une préoccupation essentiellement locale qui renvoie à des comportements individuels et collectifs, la durabilité des actions mises en œuvre dans ce domaine reste conditionnée en grande partie par l’appropriation des actions par les populations et les collectivités territoriales. D’où la nécessité de mettre l’accent sur les actions d’information et sensibilisation, et d’opérationnaliser le transfert des compétences aux collectivités territoriales.</w:t>
      </w:r>
    </w:p>
    <w:p w:rsidR="00C33EAE" w:rsidRPr="00A929CE" w:rsidRDefault="00C33EAE" w:rsidP="00112EE9">
      <w:pPr>
        <w:spacing w:line="360" w:lineRule="auto"/>
        <w:jc w:val="both"/>
        <w:rPr>
          <w:rFonts w:asciiTheme="minorHAnsi" w:hAnsiTheme="minorHAnsi" w:cstheme="minorHAnsi"/>
          <w:color w:val="000000"/>
          <w:sz w:val="24"/>
          <w:szCs w:val="24"/>
        </w:rPr>
      </w:pPr>
    </w:p>
    <w:p w:rsidR="00FA61B1" w:rsidRDefault="00FA61B1">
      <w:pPr>
        <w:spacing w:after="160" w:line="259" w:lineRule="auto"/>
        <w:rPr>
          <w:rFonts w:asciiTheme="minorHAnsi" w:eastAsia="Times New Roman" w:hAnsiTheme="minorHAnsi" w:cstheme="minorHAnsi"/>
          <w:b/>
          <w:bCs/>
          <w:color w:val="1CADE4" w:themeColor="accent1"/>
          <w:kern w:val="36"/>
          <w:sz w:val="24"/>
          <w:szCs w:val="24"/>
        </w:rPr>
      </w:pPr>
      <w:bookmarkStart w:id="70" w:name="_Toc515443535"/>
      <w:bookmarkStart w:id="71" w:name="_Toc515437514"/>
      <w:bookmarkStart w:id="72" w:name="_Toc515437516"/>
      <w:bookmarkStart w:id="73" w:name="_Toc515437520"/>
      <w:bookmarkStart w:id="74" w:name="_Toc515437670"/>
      <w:bookmarkStart w:id="75" w:name="_Toc515437671"/>
      <w:bookmarkStart w:id="76" w:name="_Toc515437672"/>
      <w:bookmarkEnd w:id="70"/>
      <w:bookmarkEnd w:id="71"/>
      <w:bookmarkEnd w:id="72"/>
      <w:bookmarkEnd w:id="73"/>
      <w:bookmarkEnd w:id="74"/>
      <w:bookmarkEnd w:id="75"/>
      <w:bookmarkEnd w:id="76"/>
      <w:r>
        <w:rPr>
          <w:rFonts w:asciiTheme="minorHAnsi" w:hAnsiTheme="minorHAnsi" w:cstheme="minorHAnsi"/>
          <w:sz w:val="24"/>
          <w:szCs w:val="24"/>
        </w:rPr>
        <w:br w:type="page"/>
      </w:r>
    </w:p>
    <w:p w:rsidR="00647D81" w:rsidRPr="001754BB" w:rsidRDefault="00E276F5" w:rsidP="00B8772C">
      <w:pPr>
        <w:pStyle w:val="Titre1"/>
        <w:spacing w:line="360" w:lineRule="auto"/>
        <w:jc w:val="both"/>
        <w:rPr>
          <w:rFonts w:asciiTheme="minorHAnsi" w:hAnsiTheme="minorHAnsi" w:cstheme="minorHAnsi"/>
          <w:sz w:val="24"/>
          <w:szCs w:val="24"/>
        </w:rPr>
      </w:pPr>
      <w:bookmarkStart w:id="77" w:name="_Toc536448608"/>
      <w:r w:rsidRPr="00B8772C">
        <w:rPr>
          <w:rFonts w:asciiTheme="minorHAnsi" w:hAnsiTheme="minorHAnsi" w:cstheme="minorHAnsi"/>
          <w:sz w:val="24"/>
          <w:szCs w:val="24"/>
        </w:rPr>
        <w:t>CONCLUSIONS ET RECOMMANDATIONS POUR LA PNA-HORIZON 2030 :</w:t>
      </w:r>
      <w:bookmarkEnd w:id="77"/>
    </w:p>
    <w:p w:rsidR="009466C9" w:rsidRPr="001754BB" w:rsidRDefault="009466C9" w:rsidP="00B8772C">
      <w:pPr>
        <w:pStyle w:val="Titre2"/>
        <w:spacing w:line="360" w:lineRule="auto"/>
        <w:rPr>
          <w:rFonts w:asciiTheme="minorHAnsi" w:hAnsiTheme="minorHAnsi"/>
          <w:szCs w:val="24"/>
        </w:rPr>
      </w:pPr>
      <w:bookmarkStart w:id="78" w:name="_Toc536448609"/>
      <w:r w:rsidRPr="001754BB">
        <w:rPr>
          <w:rFonts w:asciiTheme="minorHAnsi" w:hAnsiTheme="minorHAnsi"/>
          <w:szCs w:val="24"/>
        </w:rPr>
        <w:t>Conclusions :</w:t>
      </w:r>
      <w:bookmarkEnd w:id="78"/>
    </w:p>
    <w:p w:rsidR="0047015B" w:rsidRDefault="0047015B" w:rsidP="001754BB">
      <w:pPr>
        <w:pStyle w:val="BodyText"/>
        <w:spacing w:line="360" w:lineRule="auto"/>
        <w:rPr>
          <w:rFonts w:asciiTheme="minorHAnsi" w:hAnsiTheme="minorHAnsi" w:cstheme="minorHAnsi"/>
          <w:sz w:val="24"/>
          <w:szCs w:val="24"/>
        </w:rPr>
      </w:pPr>
      <w:r>
        <w:rPr>
          <w:rFonts w:asciiTheme="minorHAnsi" w:hAnsiTheme="minorHAnsi" w:cstheme="minorHAnsi"/>
          <w:sz w:val="24"/>
          <w:szCs w:val="24"/>
        </w:rPr>
        <w:t>Il est ressorti d</w:t>
      </w:r>
      <w:r w:rsidR="00830CF7" w:rsidRPr="0022409F">
        <w:rPr>
          <w:rFonts w:asciiTheme="minorHAnsi" w:hAnsiTheme="minorHAnsi" w:cstheme="minorHAnsi"/>
          <w:sz w:val="24"/>
          <w:szCs w:val="24"/>
        </w:rPr>
        <w:t xml:space="preserve">u diagnostic </w:t>
      </w:r>
      <w:r w:rsidR="00D10152" w:rsidRPr="0022409F">
        <w:rPr>
          <w:rFonts w:asciiTheme="minorHAnsi" w:hAnsiTheme="minorHAnsi" w:cstheme="minorHAnsi"/>
          <w:sz w:val="24"/>
          <w:szCs w:val="24"/>
        </w:rPr>
        <w:t xml:space="preserve">et de l’évaluation </w:t>
      </w:r>
      <w:r w:rsidR="00830CF7" w:rsidRPr="0022409F">
        <w:rPr>
          <w:rFonts w:asciiTheme="minorHAnsi" w:hAnsiTheme="minorHAnsi" w:cstheme="minorHAnsi"/>
          <w:sz w:val="24"/>
          <w:szCs w:val="24"/>
        </w:rPr>
        <w:t>de la mise en œuvre de la PNA et des stratégies sou</w:t>
      </w:r>
      <w:r w:rsidR="00830CF7" w:rsidRPr="00305208">
        <w:rPr>
          <w:rFonts w:asciiTheme="minorHAnsi" w:hAnsiTheme="minorHAnsi" w:cstheme="minorHAnsi"/>
          <w:sz w:val="24"/>
          <w:szCs w:val="24"/>
        </w:rPr>
        <w:t xml:space="preserve">s sectorielles, </w:t>
      </w:r>
      <w:r>
        <w:rPr>
          <w:rFonts w:asciiTheme="minorHAnsi" w:hAnsiTheme="minorHAnsi" w:cstheme="minorHAnsi"/>
          <w:sz w:val="24"/>
          <w:szCs w:val="24"/>
        </w:rPr>
        <w:t>qu’en dépit des efforts fournis pour faire changer la situation dans le sous-secteur, les défis précédemment identifiés sont d’actualité.</w:t>
      </w:r>
    </w:p>
    <w:p w:rsidR="00830CF7" w:rsidRPr="00305208" w:rsidRDefault="0047015B" w:rsidP="001754BB">
      <w:pPr>
        <w:pStyle w:val="BodyText"/>
        <w:spacing w:line="360" w:lineRule="auto"/>
        <w:rPr>
          <w:rFonts w:asciiTheme="minorHAnsi" w:hAnsiTheme="minorHAnsi" w:cstheme="minorHAnsi"/>
          <w:sz w:val="24"/>
          <w:szCs w:val="24"/>
        </w:rPr>
      </w:pPr>
      <w:r>
        <w:rPr>
          <w:rFonts w:asciiTheme="minorHAnsi" w:hAnsiTheme="minorHAnsi" w:cstheme="minorHAnsi"/>
          <w:sz w:val="24"/>
          <w:szCs w:val="24"/>
        </w:rPr>
        <w:t xml:space="preserve">Aussi, </w:t>
      </w:r>
      <w:r w:rsidR="00830CF7" w:rsidRPr="00305208">
        <w:rPr>
          <w:rFonts w:asciiTheme="minorHAnsi" w:hAnsiTheme="minorHAnsi" w:cstheme="minorHAnsi"/>
          <w:sz w:val="24"/>
          <w:szCs w:val="24"/>
        </w:rPr>
        <w:t xml:space="preserve"> les </w:t>
      </w:r>
      <w:r>
        <w:rPr>
          <w:rFonts w:asciiTheme="minorHAnsi" w:hAnsiTheme="minorHAnsi" w:cstheme="minorHAnsi"/>
          <w:sz w:val="24"/>
          <w:szCs w:val="24"/>
        </w:rPr>
        <w:t xml:space="preserve">constats suivants peuvent être faits </w:t>
      </w:r>
      <w:r w:rsidR="003B11C5">
        <w:rPr>
          <w:rFonts w:asciiTheme="minorHAnsi" w:hAnsiTheme="minorHAnsi" w:cstheme="minorHAnsi"/>
          <w:sz w:val="24"/>
          <w:szCs w:val="24"/>
        </w:rPr>
        <w:t xml:space="preserve">: </w:t>
      </w:r>
      <w:r w:rsidR="00830CF7" w:rsidRPr="00305208">
        <w:rPr>
          <w:rFonts w:asciiTheme="minorHAnsi" w:hAnsiTheme="minorHAnsi" w:cstheme="minorHAnsi"/>
          <w:sz w:val="24"/>
          <w:szCs w:val="24"/>
        </w:rPr>
        <w:t>:</w:t>
      </w:r>
    </w:p>
    <w:p w:rsidR="00830CF7" w:rsidRPr="00112EE9" w:rsidRDefault="00830CF7" w:rsidP="001754BB">
      <w:pPr>
        <w:pStyle w:val="BodyText"/>
        <w:numPr>
          <w:ilvl w:val="0"/>
          <w:numId w:val="48"/>
        </w:numPr>
        <w:spacing w:line="360" w:lineRule="auto"/>
        <w:rPr>
          <w:rFonts w:asciiTheme="minorHAnsi" w:hAnsiTheme="minorHAnsi" w:cstheme="minorHAnsi"/>
          <w:sz w:val="24"/>
          <w:szCs w:val="24"/>
        </w:rPr>
      </w:pPr>
      <w:r w:rsidRPr="00112EE9">
        <w:rPr>
          <w:rFonts w:asciiTheme="minorHAnsi" w:hAnsiTheme="minorHAnsi" w:cstheme="minorHAnsi"/>
          <w:sz w:val="24"/>
          <w:szCs w:val="24"/>
        </w:rPr>
        <w:t>Le dispositif de pilotage proposé dans le document PNA pour sa mise en œuvre n’a jamais vu le jour. Ce qui a occasionné une conduite disparate des actions et activités d’assainissement, malgré leur impact certain ;</w:t>
      </w:r>
    </w:p>
    <w:p w:rsidR="0031488A" w:rsidRPr="00A929CE" w:rsidRDefault="00830CF7" w:rsidP="00BC7FF5">
      <w:pPr>
        <w:pStyle w:val="BodyText"/>
        <w:numPr>
          <w:ilvl w:val="0"/>
          <w:numId w:val="48"/>
        </w:numPr>
        <w:spacing w:line="360" w:lineRule="auto"/>
        <w:rPr>
          <w:rFonts w:asciiTheme="minorHAnsi" w:hAnsiTheme="minorHAnsi" w:cstheme="minorHAnsi"/>
          <w:sz w:val="24"/>
          <w:szCs w:val="24"/>
        </w:rPr>
      </w:pPr>
      <w:r w:rsidRPr="00112EE9">
        <w:rPr>
          <w:rFonts w:asciiTheme="minorHAnsi" w:hAnsiTheme="minorHAnsi" w:cstheme="minorHAnsi"/>
          <w:sz w:val="24"/>
          <w:szCs w:val="24"/>
        </w:rPr>
        <w:t xml:space="preserve">Les comités de suivi-évaluation clairement identifiés et détaillés dans le document PNA n’ont pas été mis en place. La CPS-SEEUDE </w:t>
      </w:r>
      <w:r w:rsidR="0031488A" w:rsidRPr="00D863B8">
        <w:rPr>
          <w:rFonts w:asciiTheme="minorHAnsi" w:hAnsiTheme="minorHAnsi" w:cstheme="minorHAnsi"/>
          <w:sz w:val="24"/>
          <w:szCs w:val="24"/>
        </w:rPr>
        <w:t>a suppléé à cette carence en prenant en charge les activités de suivi –évaluation des projets et programmes en</w:t>
      </w:r>
      <w:r w:rsidR="0031488A" w:rsidRPr="00A929CE">
        <w:rPr>
          <w:rFonts w:asciiTheme="minorHAnsi" w:hAnsiTheme="minorHAnsi" w:cstheme="minorHAnsi"/>
          <w:sz w:val="24"/>
          <w:szCs w:val="24"/>
        </w:rPr>
        <w:t xml:space="preserve"> lien avec l’assainissement. Il faut avouer que sans un canevas d’indicateurs adressé</w:t>
      </w:r>
      <w:r w:rsidR="0047015B">
        <w:rPr>
          <w:rFonts w:asciiTheme="minorHAnsi" w:hAnsiTheme="minorHAnsi" w:cstheme="minorHAnsi"/>
          <w:sz w:val="24"/>
          <w:szCs w:val="24"/>
        </w:rPr>
        <w:t>s</w:t>
      </w:r>
      <w:r w:rsidR="0031488A" w:rsidRPr="00A929CE">
        <w:rPr>
          <w:rFonts w:asciiTheme="minorHAnsi" w:hAnsiTheme="minorHAnsi" w:cstheme="minorHAnsi"/>
          <w:sz w:val="24"/>
          <w:szCs w:val="24"/>
        </w:rPr>
        <w:t xml:space="preserve"> à cet effet, ce suivi-évaluation reste dans le registre de l’imparfait ;</w:t>
      </w:r>
    </w:p>
    <w:p w:rsidR="0031488A" w:rsidRPr="00A929CE" w:rsidRDefault="0031488A" w:rsidP="00112EE9">
      <w:pPr>
        <w:pStyle w:val="BodyText"/>
        <w:numPr>
          <w:ilvl w:val="0"/>
          <w:numId w:val="48"/>
        </w:numPr>
        <w:spacing w:line="360" w:lineRule="auto"/>
        <w:rPr>
          <w:rFonts w:asciiTheme="minorHAnsi" w:hAnsiTheme="minorHAnsi" w:cstheme="minorHAnsi"/>
          <w:sz w:val="24"/>
          <w:szCs w:val="24"/>
        </w:rPr>
      </w:pPr>
      <w:r w:rsidRPr="00A929CE">
        <w:rPr>
          <w:rFonts w:asciiTheme="minorHAnsi" w:hAnsiTheme="minorHAnsi" w:cstheme="minorHAnsi"/>
          <w:sz w:val="24"/>
          <w:szCs w:val="24"/>
        </w:rPr>
        <w:t>La mise en œuvre de la PNA et de ses stratégies sous sectorielles a largement souffert du manque d’un Plan d’actions consolidé prenant en compte les cinq stratégies sous sectorielles associées ;</w:t>
      </w:r>
    </w:p>
    <w:p w:rsidR="0031488A" w:rsidRPr="00A929CE" w:rsidRDefault="0031488A" w:rsidP="00112EE9">
      <w:pPr>
        <w:pStyle w:val="BodyText"/>
        <w:numPr>
          <w:ilvl w:val="0"/>
          <w:numId w:val="48"/>
        </w:numPr>
        <w:spacing w:line="360" w:lineRule="auto"/>
        <w:rPr>
          <w:rFonts w:asciiTheme="minorHAnsi" w:hAnsiTheme="minorHAnsi" w:cstheme="minorHAnsi"/>
          <w:sz w:val="24"/>
          <w:szCs w:val="24"/>
        </w:rPr>
      </w:pPr>
      <w:r w:rsidRPr="00A929CE">
        <w:rPr>
          <w:rFonts w:asciiTheme="minorHAnsi" w:hAnsiTheme="minorHAnsi" w:cstheme="minorHAnsi"/>
          <w:sz w:val="24"/>
          <w:szCs w:val="24"/>
        </w:rPr>
        <w:t>Cette mise en œuvre de la PNA n’a pas bénéficié d’un esprit « fédérateur » des acteurs clés, dans l’idée d’une synergie pour mener à bien les activités. Chaque acteur a plus agi isolément</w:t>
      </w:r>
      <w:r w:rsidR="0047015B">
        <w:rPr>
          <w:rFonts w:asciiTheme="minorHAnsi" w:hAnsiTheme="minorHAnsi" w:cstheme="minorHAnsi"/>
          <w:sz w:val="24"/>
          <w:szCs w:val="24"/>
        </w:rPr>
        <w:t>, ce qui a limité l’impact des actions mises en œuvre</w:t>
      </w:r>
      <w:r w:rsidRPr="00A929CE">
        <w:rPr>
          <w:rFonts w:asciiTheme="minorHAnsi" w:hAnsiTheme="minorHAnsi" w:cstheme="minorHAnsi"/>
          <w:sz w:val="24"/>
          <w:szCs w:val="24"/>
        </w:rPr>
        <w:t> ;</w:t>
      </w:r>
    </w:p>
    <w:p w:rsidR="005A38B4" w:rsidRPr="00A929CE" w:rsidRDefault="0031488A" w:rsidP="00A929CE">
      <w:pPr>
        <w:pStyle w:val="BodyText"/>
        <w:numPr>
          <w:ilvl w:val="0"/>
          <w:numId w:val="48"/>
        </w:numPr>
        <w:spacing w:line="360" w:lineRule="auto"/>
        <w:rPr>
          <w:rFonts w:asciiTheme="minorHAnsi" w:hAnsiTheme="minorHAnsi" w:cstheme="minorHAnsi"/>
          <w:sz w:val="24"/>
          <w:szCs w:val="24"/>
        </w:rPr>
      </w:pPr>
      <w:r w:rsidRPr="00A929CE">
        <w:rPr>
          <w:rFonts w:asciiTheme="minorHAnsi" w:hAnsiTheme="minorHAnsi" w:cstheme="minorHAnsi"/>
          <w:sz w:val="24"/>
          <w:szCs w:val="24"/>
        </w:rPr>
        <w:t xml:space="preserve">La faiblesse des </w:t>
      </w:r>
      <w:r w:rsidR="005A38B4" w:rsidRPr="00A929CE">
        <w:rPr>
          <w:rFonts w:asciiTheme="minorHAnsi" w:hAnsiTheme="minorHAnsi" w:cstheme="minorHAnsi"/>
          <w:sz w:val="24"/>
          <w:szCs w:val="24"/>
        </w:rPr>
        <w:t>ressources humaines (quantité et qualité) de la structure « locomotive » qu’est la DNACPN et ses démembrements a fortement impacté la mise en œuvre de la PNA en termes d’appui-conseil aux CT, maître</w:t>
      </w:r>
      <w:r w:rsidR="0047015B">
        <w:rPr>
          <w:rFonts w:asciiTheme="minorHAnsi" w:hAnsiTheme="minorHAnsi" w:cstheme="minorHAnsi"/>
          <w:sz w:val="24"/>
          <w:szCs w:val="24"/>
        </w:rPr>
        <w:t>s</w:t>
      </w:r>
      <w:r w:rsidR="005A38B4" w:rsidRPr="00A929CE">
        <w:rPr>
          <w:rFonts w:asciiTheme="minorHAnsi" w:hAnsiTheme="minorHAnsi" w:cstheme="minorHAnsi"/>
          <w:sz w:val="24"/>
          <w:szCs w:val="24"/>
        </w:rPr>
        <w:t xml:space="preserve"> d’ouvrage</w:t>
      </w:r>
      <w:r w:rsidR="0047015B">
        <w:rPr>
          <w:rFonts w:asciiTheme="minorHAnsi" w:hAnsiTheme="minorHAnsi" w:cstheme="minorHAnsi"/>
          <w:sz w:val="24"/>
          <w:szCs w:val="24"/>
        </w:rPr>
        <w:t>s</w:t>
      </w:r>
      <w:r w:rsidR="005A38B4" w:rsidRPr="00A929CE">
        <w:rPr>
          <w:rFonts w:asciiTheme="minorHAnsi" w:hAnsiTheme="minorHAnsi" w:cstheme="minorHAnsi"/>
          <w:sz w:val="24"/>
          <w:szCs w:val="24"/>
        </w:rPr>
        <w:t xml:space="preserve"> en la matière. Cette faiblesse est demeurée présente, car le Plan de développement des ressources humaines préconisé dans le document PNA n’a pas reçu d’échos favorable quant à son élaboration, voir, sa mise en œuvre. Les activités disparates de renforcement des capacités  n’ont joué que le rôle de « Placebos », ne permettant pas de combler le gap.</w:t>
      </w:r>
    </w:p>
    <w:p w:rsidR="00FA61B1" w:rsidRDefault="00FA61B1">
      <w:pPr>
        <w:spacing w:after="160" w:line="259" w:lineRule="auto"/>
        <w:rPr>
          <w:rFonts w:asciiTheme="minorHAnsi" w:eastAsia="Times New Roman" w:hAnsiTheme="minorHAnsi" w:cstheme="minorHAnsi"/>
          <w:b/>
          <w:bCs/>
          <w:sz w:val="24"/>
          <w:szCs w:val="24"/>
        </w:rPr>
      </w:pPr>
      <w:r>
        <w:rPr>
          <w:rFonts w:asciiTheme="minorHAnsi" w:hAnsiTheme="minorHAnsi"/>
          <w:szCs w:val="24"/>
        </w:rPr>
        <w:br w:type="page"/>
      </w:r>
    </w:p>
    <w:p w:rsidR="009466C9" w:rsidRPr="00A929CE" w:rsidRDefault="009466C9" w:rsidP="00A929CE">
      <w:pPr>
        <w:pStyle w:val="Titre2"/>
        <w:spacing w:line="360" w:lineRule="auto"/>
        <w:rPr>
          <w:rFonts w:asciiTheme="minorHAnsi" w:hAnsiTheme="minorHAnsi"/>
          <w:szCs w:val="24"/>
        </w:rPr>
      </w:pPr>
      <w:bookmarkStart w:id="79" w:name="_Toc536448610"/>
      <w:r w:rsidRPr="00A929CE">
        <w:rPr>
          <w:rFonts w:asciiTheme="minorHAnsi" w:hAnsiTheme="minorHAnsi"/>
          <w:szCs w:val="24"/>
        </w:rPr>
        <w:t>Recommandations :</w:t>
      </w:r>
      <w:bookmarkEnd w:id="79"/>
    </w:p>
    <w:p w:rsidR="004C04AB" w:rsidRPr="00A929CE" w:rsidRDefault="004C04AB" w:rsidP="00A929CE">
      <w:pPr>
        <w:pStyle w:val="BodyText"/>
        <w:spacing w:line="360" w:lineRule="auto"/>
        <w:rPr>
          <w:rFonts w:asciiTheme="minorHAnsi" w:hAnsiTheme="minorHAnsi" w:cstheme="minorHAnsi"/>
          <w:sz w:val="24"/>
          <w:szCs w:val="24"/>
        </w:rPr>
      </w:pPr>
      <w:r w:rsidRPr="00A929CE">
        <w:rPr>
          <w:rFonts w:asciiTheme="minorHAnsi" w:hAnsiTheme="minorHAnsi" w:cstheme="minorHAnsi"/>
          <w:sz w:val="24"/>
          <w:szCs w:val="24"/>
        </w:rPr>
        <w:t>La prise en compte des recommandations suivantes permettr</w:t>
      </w:r>
      <w:r w:rsidR="0047015B">
        <w:rPr>
          <w:rFonts w:asciiTheme="minorHAnsi" w:hAnsiTheme="minorHAnsi" w:cstheme="minorHAnsi"/>
          <w:sz w:val="24"/>
          <w:szCs w:val="24"/>
        </w:rPr>
        <w:t>a</w:t>
      </w:r>
      <w:r w:rsidRPr="00A929CE">
        <w:rPr>
          <w:rFonts w:asciiTheme="minorHAnsi" w:hAnsiTheme="minorHAnsi" w:cstheme="minorHAnsi"/>
          <w:sz w:val="24"/>
          <w:szCs w:val="24"/>
        </w:rPr>
        <w:t xml:space="preserve"> de produire un document de Politique Nationale d’Assainissement réaliste </w:t>
      </w:r>
      <w:r w:rsidR="0047015B">
        <w:rPr>
          <w:rFonts w:asciiTheme="minorHAnsi" w:hAnsiTheme="minorHAnsi" w:cstheme="minorHAnsi"/>
          <w:sz w:val="24"/>
          <w:szCs w:val="24"/>
        </w:rPr>
        <w:t xml:space="preserve">s’appuyant sur </w:t>
      </w:r>
      <w:r w:rsidRPr="00A929CE">
        <w:rPr>
          <w:rFonts w:asciiTheme="minorHAnsi" w:hAnsiTheme="minorHAnsi" w:cstheme="minorHAnsi"/>
          <w:sz w:val="24"/>
          <w:szCs w:val="24"/>
        </w:rPr>
        <w:t xml:space="preserve"> les évolutions présentes et futures du sous-secteur de l’assainissement au Mali. Elles </w:t>
      </w:r>
      <w:r w:rsidR="0047015B">
        <w:rPr>
          <w:rFonts w:asciiTheme="minorHAnsi" w:hAnsiTheme="minorHAnsi" w:cstheme="minorHAnsi"/>
          <w:sz w:val="24"/>
          <w:szCs w:val="24"/>
        </w:rPr>
        <w:t xml:space="preserve">sont susceptibles de garantir </w:t>
      </w:r>
      <w:r w:rsidRPr="00A929CE">
        <w:rPr>
          <w:rFonts w:asciiTheme="minorHAnsi" w:hAnsiTheme="minorHAnsi" w:cstheme="minorHAnsi"/>
          <w:sz w:val="24"/>
          <w:szCs w:val="24"/>
        </w:rPr>
        <w:t xml:space="preserve"> une mise en œuvre engagée et partagée </w:t>
      </w:r>
      <w:r w:rsidR="0047015B">
        <w:rPr>
          <w:rFonts w:asciiTheme="minorHAnsi" w:hAnsiTheme="minorHAnsi" w:cstheme="minorHAnsi"/>
          <w:sz w:val="24"/>
          <w:szCs w:val="24"/>
        </w:rPr>
        <w:t xml:space="preserve">par </w:t>
      </w:r>
      <w:r w:rsidRPr="00A929CE">
        <w:rPr>
          <w:rFonts w:asciiTheme="minorHAnsi" w:hAnsiTheme="minorHAnsi" w:cstheme="minorHAnsi"/>
          <w:sz w:val="24"/>
          <w:szCs w:val="24"/>
        </w:rPr>
        <w:t xml:space="preserve"> tous les acteurs clés.</w:t>
      </w:r>
    </w:p>
    <w:p w:rsidR="004C04AB" w:rsidRPr="00A929CE" w:rsidRDefault="0002433A" w:rsidP="00A929CE">
      <w:pPr>
        <w:pStyle w:val="Titre3"/>
        <w:keepNext/>
        <w:spacing w:line="360" w:lineRule="auto"/>
        <w:ind w:left="1134" w:hanging="1134"/>
        <w:jc w:val="both"/>
        <w:rPr>
          <w:rFonts w:asciiTheme="minorHAnsi" w:hAnsiTheme="minorHAnsi" w:cstheme="minorHAnsi"/>
          <w:sz w:val="24"/>
          <w:szCs w:val="24"/>
        </w:rPr>
      </w:pPr>
      <w:bookmarkStart w:id="80" w:name="_Toc481132720"/>
      <w:bookmarkStart w:id="81" w:name="_Toc536448611"/>
      <w:r>
        <w:rPr>
          <w:rFonts w:asciiTheme="minorHAnsi" w:hAnsiTheme="minorHAnsi" w:cstheme="minorHAnsi"/>
          <w:sz w:val="24"/>
          <w:szCs w:val="24"/>
        </w:rPr>
        <w:t>C</w:t>
      </w:r>
      <w:r w:rsidR="004C04AB" w:rsidRPr="00A929CE">
        <w:rPr>
          <w:rFonts w:asciiTheme="minorHAnsi" w:hAnsiTheme="minorHAnsi" w:cstheme="minorHAnsi"/>
          <w:sz w:val="24"/>
          <w:szCs w:val="24"/>
        </w:rPr>
        <w:t>adre institutionnel, du pilotage et de la coordination</w:t>
      </w:r>
      <w:bookmarkEnd w:id="80"/>
      <w:bookmarkEnd w:id="81"/>
    </w:p>
    <w:p w:rsidR="004C04AB" w:rsidRPr="00A929CE" w:rsidRDefault="004C04AB" w:rsidP="00A929CE">
      <w:pPr>
        <w:pStyle w:val="BodyTextind1"/>
        <w:numPr>
          <w:ilvl w:val="0"/>
          <w:numId w:val="43"/>
        </w:numPr>
        <w:spacing w:line="360" w:lineRule="auto"/>
        <w:rPr>
          <w:rFonts w:asciiTheme="minorHAnsi" w:hAnsiTheme="minorHAnsi" w:cstheme="minorHAnsi"/>
          <w:sz w:val="24"/>
          <w:szCs w:val="24"/>
        </w:rPr>
      </w:pPr>
      <w:r w:rsidRPr="00A929CE">
        <w:rPr>
          <w:rFonts w:asciiTheme="minorHAnsi" w:hAnsiTheme="minorHAnsi" w:cstheme="minorHAnsi"/>
          <w:sz w:val="24"/>
          <w:szCs w:val="24"/>
        </w:rPr>
        <w:t>Poursuivre la tenue des concertations annuelles des acteurs du secteur sur la base d’un cadre logique claire ;</w:t>
      </w:r>
    </w:p>
    <w:p w:rsidR="004C04AB" w:rsidRPr="00A929CE" w:rsidRDefault="00EB1AE8" w:rsidP="00A929CE">
      <w:pPr>
        <w:pStyle w:val="BodyTextind1"/>
        <w:numPr>
          <w:ilvl w:val="0"/>
          <w:numId w:val="43"/>
        </w:numPr>
        <w:spacing w:line="360" w:lineRule="auto"/>
        <w:rPr>
          <w:rFonts w:asciiTheme="minorHAnsi" w:hAnsiTheme="minorHAnsi" w:cstheme="minorHAnsi"/>
          <w:sz w:val="24"/>
          <w:szCs w:val="24"/>
        </w:rPr>
      </w:pPr>
      <w:r w:rsidRPr="00A929CE">
        <w:rPr>
          <w:rFonts w:asciiTheme="minorHAnsi" w:hAnsiTheme="minorHAnsi" w:cstheme="minorHAnsi"/>
          <w:sz w:val="24"/>
          <w:szCs w:val="24"/>
        </w:rPr>
        <w:t xml:space="preserve">Mettre en place un </w:t>
      </w:r>
      <w:r w:rsidR="004C04AB" w:rsidRPr="00A929CE">
        <w:rPr>
          <w:rFonts w:asciiTheme="minorHAnsi" w:hAnsiTheme="minorHAnsi" w:cstheme="minorHAnsi"/>
          <w:sz w:val="24"/>
          <w:szCs w:val="24"/>
        </w:rPr>
        <w:t xml:space="preserve">Comité de Pilotage </w:t>
      </w:r>
      <w:r w:rsidRPr="00A929CE">
        <w:rPr>
          <w:rFonts w:asciiTheme="minorHAnsi" w:hAnsiTheme="minorHAnsi" w:cstheme="minorHAnsi"/>
          <w:sz w:val="24"/>
          <w:szCs w:val="24"/>
        </w:rPr>
        <w:t>consensuel de la nouvelle PNA et ses stratégies rattachées</w:t>
      </w:r>
      <w:r w:rsidR="004C04AB" w:rsidRPr="00A929CE">
        <w:rPr>
          <w:rFonts w:asciiTheme="minorHAnsi" w:hAnsiTheme="minorHAnsi" w:cstheme="minorHAnsi"/>
          <w:sz w:val="24"/>
          <w:szCs w:val="24"/>
        </w:rPr>
        <w:t> ;</w:t>
      </w:r>
    </w:p>
    <w:p w:rsidR="004C04AB" w:rsidRPr="00A929CE" w:rsidRDefault="00EB1AE8" w:rsidP="00A929CE">
      <w:pPr>
        <w:pStyle w:val="BodyTextind1"/>
        <w:numPr>
          <w:ilvl w:val="0"/>
          <w:numId w:val="43"/>
        </w:numPr>
        <w:spacing w:line="360" w:lineRule="auto"/>
        <w:rPr>
          <w:rFonts w:asciiTheme="minorHAnsi" w:hAnsiTheme="minorHAnsi" w:cstheme="minorHAnsi"/>
          <w:sz w:val="24"/>
          <w:szCs w:val="24"/>
        </w:rPr>
      </w:pPr>
      <w:r w:rsidRPr="00A929CE">
        <w:rPr>
          <w:rFonts w:asciiTheme="minorHAnsi" w:hAnsiTheme="minorHAnsi" w:cstheme="minorHAnsi"/>
          <w:sz w:val="24"/>
          <w:szCs w:val="24"/>
        </w:rPr>
        <w:t>Mettre en place les Comités de suivi-évaluation aux niveaux considérés dans l’actuelle PNA (national, région, cercle, commune)</w:t>
      </w:r>
      <w:r w:rsidR="004C04AB" w:rsidRPr="00A929CE">
        <w:rPr>
          <w:rFonts w:asciiTheme="minorHAnsi" w:hAnsiTheme="minorHAnsi" w:cstheme="minorHAnsi"/>
          <w:sz w:val="24"/>
          <w:szCs w:val="24"/>
        </w:rPr>
        <w:t> ;</w:t>
      </w:r>
    </w:p>
    <w:p w:rsidR="004C04AB" w:rsidRPr="00A929CE" w:rsidRDefault="004C04AB" w:rsidP="00A929CE">
      <w:pPr>
        <w:pStyle w:val="BodyTextind1"/>
        <w:numPr>
          <w:ilvl w:val="0"/>
          <w:numId w:val="43"/>
        </w:numPr>
        <w:spacing w:line="360" w:lineRule="auto"/>
        <w:rPr>
          <w:rFonts w:asciiTheme="minorHAnsi" w:eastAsia="Times New Roman" w:hAnsiTheme="minorHAnsi" w:cstheme="minorHAnsi"/>
          <w:sz w:val="24"/>
          <w:szCs w:val="24"/>
          <w:lang w:eastAsia="fr-FR"/>
        </w:rPr>
      </w:pPr>
      <w:r w:rsidRPr="00A929CE">
        <w:rPr>
          <w:rFonts w:asciiTheme="minorHAnsi" w:hAnsiTheme="minorHAnsi" w:cstheme="minorHAnsi"/>
          <w:sz w:val="24"/>
          <w:szCs w:val="24"/>
        </w:rPr>
        <w:t>Clarifier</w:t>
      </w:r>
      <w:r w:rsidR="00F25F89" w:rsidRPr="00A929CE">
        <w:rPr>
          <w:rFonts w:asciiTheme="minorHAnsi" w:hAnsiTheme="minorHAnsi" w:cstheme="minorHAnsi"/>
          <w:sz w:val="24"/>
          <w:szCs w:val="24"/>
        </w:rPr>
        <w:t xml:space="preserve">, préciser </w:t>
      </w:r>
      <w:r w:rsidRPr="00A929CE">
        <w:rPr>
          <w:rFonts w:asciiTheme="minorHAnsi" w:hAnsiTheme="minorHAnsi" w:cstheme="minorHAnsi"/>
          <w:sz w:val="24"/>
          <w:szCs w:val="24"/>
        </w:rPr>
        <w:t xml:space="preserve">davantage </w:t>
      </w:r>
      <w:r w:rsidR="00F25F89" w:rsidRPr="00A929CE">
        <w:rPr>
          <w:rFonts w:asciiTheme="minorHAnsi" w:hAnsiTheme="minorHAnsi" w:cstheme="minorHAnsi"/>
          <w:sz w:val="24"/>
          <w:szCs w:val="24"/>
        </w:rPr>
        <w:t xml:space="preserve">et définitivement, </w:t>
      </w:r>
      <w:r w:rsidRPr="00A929CE">
        <w:rPr>
          <w:rFonts w:asciiTheme="minorHAnsi" w:hAnsiTheme="minorHAnsi" w:cstheme="minorHAnsi"/>
          <w:sz w:val="24"/>
          <w:szCs w:val="24"/>
        </w:rPr>
        <w:t>les rôles et mandats des différents acteurs</w:t>
      </w:r>
      <w:r w:rsidR="00F25F89" w:rsidRPr="00A929CE">
        <w:rPr>
          <w:rFonts w:asciiTheme="minorHAnsi" w:hAnsiTheme="minorHAnsi" w:cstheme="minorHAnsi"/>
          <w:sz w:val="24"/>
          <w:szCs w:val="24"/>
        </w:rPr>
        <w:t xml:space="preserve"> du sous-secteur</w:t>
      </w:r>
      <w:r w:rsidRPr="00A929CE">
        <w:rPr>
          <w:rFonts w:asciiTheme="minorHAnsi" w:hAnsiTheme="minorHAnsi" w:cstheme="minorHAnsi"/>
          <w:sz w:val="24"/>
          <w:szCs w:val="24"/>
        </w:rPr>
        <w:t> ;</w:t>
      </w:r>
    </w:p>
    <w:p w:rsidR="00F25F89" w:rsidRPr="00A929CE" w:rsidRDefault="00F25F89" w:rsidP="00A929CE">
      <w:pPr>
        <w:pStyle w:val="BodyTextind1"/>
        <w:numPr>
          <w:ilvl w:val="0"/>
          <w:numId w:val="43"/>
        </w:numPr>
        <w:spacing w:line="360" w:lineRule="auto"/>
        <w:rPr>
          <w:rFonts w:asciiTheme="minorHAnsi" w:eastAsia="Times New Roman" w:hAnsiTheme="minorHAnsi" w:cstheme="minorHAnsi"/>
          <w:sz w:val="24"/>
          <w:szCs w:val="24"/>
          <w:lang w:eastAsia="fr-FR"/>
        </w:rPr>
      </w:pPr>
      <w:r w:rsidRPr="00A929CE">
        <w:rPr>
          <w:rFonts w:asciiTheme="minorHAnsi" w:hAnsiTheme="minorHAnsi" w:cstheme="minorHAnsi"/>
          <w:color w:val="000000"/>
          <w:sz w:val="24"/>
          <w:szCs w:val="24"/>
        </w:rPr>
        <w:t>Doter la nouvelle PNA de cadre logique et d</w:t>
      </w:r>
      <w:r w:rsidR="00DE5EE5" w:rsidRPr="00A929CE">
        <w:rPr>
          <w:rFonts w:asciiTheme="minorHAnsi" w:hAnsiTheme="minorHAnsi" w:cstheme="minorHAnsi"/>
          <w:color w:val="000000"/>
          <w:sz w:val="24"/>
          <w:szCs w:val="24"/>
        </w:rPr>
        <w:t xml:space="preserve">’un Programme de mise en œuvre </w:t>
      </w:r>
      <w:r w:rsidRPr="00A929CE">
        <w:rPr>
          <w:rFonts w:asciiTheme="minorHAnsi" w:hAnsiTheme="minorHAnsi" w:cstheme="minorHAnsi"/>
          <w:color w:val="000000"/>
          <w:sz w:val="24"/>
          <w:szCs w:val="24"/>
        </w:rPr>
        <w:t>prenant en compte les différentes stratégies sous-sectorielles ;</w:t>
      </w:r>
    </w:p>
    <w:p w:rsidR="00F25F89" w:rsidRPr="00A929CE" w:rsidRDefault="00F25F89" w:rsidP="00A929CE">
      <w:pPr>
        <w:pStyle w:val="BodyTextind1"/>
        <w:numPr>
          <w:ilvl w:val="0"/>
          <w:numId w:val="43"/>
        </w:numPr>
        <w:spacing w:line="360" w:lineRule="auto"/>
        <w:rPr>
          <w:rFonts w:asciiTheme="minorHAnsi" w:hAnsiTheme="minorHAnsi" w:cstheme="minorHAnsi"/>
          <w:sz w:val="24"/>
          <w:szCs w:val="24"/>
        </w:rPr>
      </w:pPr>
      <w:r w:rsidRPr="00A929CE">
        <w:rPr>
          <w:rFonts w:asciiTheme="minorHAnsi" w:hAnsiTheme="minorHAnsi" w:cstheme="minorHAnsi"/>
          <w:sz w:val="24"/>
          <w:szCs w:val="24"/>
        </w:rPr>
        <w:t xml:space="preserve">Faire une relecture des textes réglementaires en lien avec l’assainissement ; </w:t>
      </w:r>
    </w:p>
    <w:p w:rsidR="00F25F89" w:rsidRPr="00A929CE" w:rsidRDefault="00DE5EE5" w:rsidP="00A929CE">
      <w:pPr>
        <w:pStyle w:val="BodyTextind1"/>
        <w:numPr>
          <w:ilvl w:val="0"/>
          <w:numId w:val="43"/>
        </w:numPr>
        <w:spacing w:line="360" w:lineRule="auto"/>
        <w:rPr>
          <w:rFonts w:asciiTheme="minorHAnsi" w:eastAsia="Times New Roman" w:hAnsiTheme="minorHAnsi" w:cstheme="minorHAnsi"/>
          <w:sz w:val="24"/>
          <w:szCs w:val="24"/>
          <w:lang w:eastAsia="fr-FR"/>
        </w:rPr>
      </w:pPr>
      <w:r w:rsidRPr="00A929CE">
        <w:rPr>
          <w:rFonts w:asciiTheme="minorHAnsi" w:eastAsia="Times New Roman" w:hAnsiTheme="minorHAnsi" w:cstheme="minorHAnsi"/>
          <w:sz w:val="24"/>
          <w:szCs w:val="24"/>
          <w:lang w:eastAsia="fr-FR"/>
        </w:rPr>
        <w:t>Consacrer dans la nouvelle PNA une sous composante « Gouvernance » du sous-secteur Assainissement</w:t>
      </w:r>
    </w:p>
    <w:p w:rsidR="004C04AB" w:rsidRPr="00A929CE" w:rsidRDefault="0002433A" w:rsidP="00A929CE">
      <w:pPr>
        <w:pStyle w:val="Titre3"/>
        <w:keepNext/>
        <w:spacing w:line="360" w:lineRule="auto"/>
        <w:ind w:left="1134" w:hanging="1134"/>
        <w:jc w:val="both"/>
        <w:rPr>
          <w:rFonts w:asciiTheme="minorHAnsi" w:hAnsiTheme="minorHAnsi" w:cstheme="minorHAnsi"/>
          <w:sz w:val="24"/>
          <w:szCs w:val="24"/>
        </w:rPr>
      </w:pPr>
      <w:bookmarkStart w:id="82" w:name="_Toc481132723"/>
      <w:bookmarkStart w:id="83" w:name="_Toc536448612"/>
      <w:r>
        <w:rPr>
          <w:rFonts w:asciiTheme="minorHAnsi" w:hAnsiTheme="minorHAnsi" w:cstheme="minorHAnsi"/>
          <w:sz w:val="24"/>
          <w:szCs w:val="24"/>
        </w:rPr>
        <w:t>E</w:t>
      </w:r>
      <w:r w:rsidR="004C04AB" w:rsidRPr="00A929CE">
        <w:rPr>
          <w:rFonts w:asciiTheme="minorHAnsi" w:hAnsiTheme="minorHAnsi" w:cstheme="minorHAnsi"/>
          <w:sz w:val="24"/>
          <w:szCs w:val="24"/>
        </w:rPr>
        <w:t>quité/inclusion</w:t>
      </w:r>
      <w:bookmarkEnd w:id="82"/>
      <w:bookmarkEnd w:id="83"/>
    </w:p>
    <w:p w:rsidR="00F25F89" w:rsidRPr="00A929CE" w:rsidRDefault="004C04AB" w:rsidP="00A929CE">
      <w:pPr>
        <w:pStyle w:val="BodyTextind1"/>
        <w:numPr>
          <w:ilvl w:val="0"/>
          <w:numId w:val="43"/>
        </w:numPr>
        <w:spacing w:line="360" w:lineRule="auto"/>
        <w:rPr>
          <w:rFonts w:asciiTheme="minorHAnsi" w:hAnsiTheme="minorHAnsi" w:cstheme="minorHAnsi"/>
          <w:sz w:val="24"/>
          <w:szCs w:val="24"/>
        </w:rPr>
      </w:pPr>
      <w:r w:rsidRPr="00A929CE">
        <w:rPr>
          <w:rFonts w:asciiTheme="minorHAnsi" w:hAnsiTheme="minorHAnsi" w:cstheme="minorHAnsi"/>
          <w:sz w:val="24"/>
          <w:szCs w:val="24"/>
        </w:rPr>
        <w:t>Inclure l’</w:t>
      </w:r>
      <w:r w:rsidR="00DE5EE5" w:rsidRPr="00A929CE">
        <w:rPr>
          <w:rFonts w:asciiTheme="minorHAnsi" w:hAnsiTheme="minorHAnsi" w:cstheme="minorHAnsi"/>
          <w:sz w:val="24"/>
          <w:szCs w:val="24"/>
        </w:rPr>
        <w:t>AFDH et l’</w:t>
      </w:r>
      <w:r w:rsidRPr="00A929CE">
        <w:rPr>
          <w:rFonts w:asciiTheme="minorHAnsi" w:hAnsiTheme="minorHAnsi" w:cstheme="minorHAnsi"/>
          <w:sz w:val="24"/>
          <w:szCs w:val="24"/>
        </w:rPr>
        <w:t xml:space="preserve">approche genre et pro pauvre dans la </w:t>
      </w:r>
      <w:r w:rsidR="00F25F89" w:rsidRPr="00A929CE">
        <w:rPr>
          <w:rFonts w:asciiTheme="minorHAnsi" w:hAnsiTheme="minorHAnsi" w:cstheme="minorHAnsi"/>
          <w:sz w:val="24"/>
          <w:szCs w:val="24"/>
        </w:rPr>
        <w:t>PNA_Horizon 2030 ;</w:t>
      </w:r>
    </w:p>
    <w:p w:rsidR="004C04AB" w:rsidRPr="00A929CE" w:rsidRDefault="00F25F89" w:rsidP="00A929CE">
      <w:pPr>
        <w:pStyle w:val="BodyTextind1"/>
        <w:numPr>
          <w:ilvl w:val="0"/>
          <w:numId w:val="43"/>
        </w:numPr>
        <w:spacing w:line="360" w:lineRule="auto"/>
        <w:rPr>
          <w:rFonts w:asciiTheme="minorHAnsi" w:hAnsiTheme="minorHAnsi" w:cstheme="minorHAnsi"/>
          <w:sz w:val="24"/>
          <w:szCs w:val="24"/>
        </w:rPr>
      </w:pPr>
      <w:r w:rsidRPr="00A929CE">
        <w:rPr>
          <w:rFonts w:asciiTheme="minorHAnsi" w:hAnsiTheme="minorHAnsi" w:cstheme="minorHAnsi"/>
          <w:sz w:val="24"/>
          <w:szCs w:val="24"/>
        </w:rPr>
        <w:t>Pour un véritable leadership étatique, r</w:t>
      </w:r>
      <w:r w:rsidR="004C04AB" w:rsidRPr="00A929CE">
        <w:rPr>
          <w:rFonts w:asciiTheme="minorHAnsi" w:hAnsiTheme="minorHAnsi" w:cstheme="minorHAnsi"/>
          <w:sz w:val="24"/>
          <w:szCs w:val="24"/>
        </w:rPr>
        <w:t>evoir fortement à la hausse l’enveloppe budgétaire consacrée à l’assainissement ;</w:t>
      </w:r>
    </w:p>
    <w:p w:rsidR="004C04AB" w:rsidRPr="00A929CE" w:rsidRDefault="0002433A" w:rsidP="00A929CE">
      <w:pPr>
        <w:pStyle w:val="Titre3"/>
        <w:keepNext/>
        <w:spacing w:line="360" w:lineRule="auto"/>
        <w:ind w:left="1134" w:hanging="1134"/>
        <w:jc w:val="both"/>
        <w:rPr>
          <w:rFonts w:asciiTheme="minorHAnsi" w:hAnsiTheme="minorHAnsi" w:cstheme="minorHAnsi"/>
          <w:sz w:val="24"/>
          <w:szCs w:val="24"/>
        </w:rPr>
      </w:pPr>
      <w:bookmarkStart w:id="84" w:name="_Toc475416270"/>
      <w:bookmarkStart w:id="85" w:name="_Toc481132724"/>
      <w:bookmarkStart w:id="86" w:name="_Toc536448613"/>
      <w:bookmarkEnd w:id="84"/>
      <w:r>
        <w:rPr>
          <w:rFonts w:asciiTheme="minorHAnsi" w:hAnsiTheme="minorHAnsi" w:cstheme="minorHAnsi"/>
          <w:sz w:val="24"/>
          <w:szCs w:val="24"/>
        </w:rPr>
        <w:t>S</w:t>
      </w:r>
      <w:r w:rsidR="004C04AB" w:rsidRPr="00A929CE">
        <w:rPr>
          <w:rFonts w:asciiTheme="minorHAnsi" w:hAnsiTheme="minorHAnsi" w:cstheme="minorHAnsi"/>
          <w:sz w:val="24"/>
          <w:szCs w:val="24"/>
        </w:rPr>
        <w:t>ystème de suivi et évaluation</w:t>
      </w:r>
      <w:bookmarkEnd w:id="85"/>
      <w:r w:rsidR="004C04AB" w:rsidRPr="00A929CE">
        <w:rPr>
          <w:rFonts w:asciiTheme="minorHAnsi" w:hAnsiTheme="minorHAnsi" w:cstheme="minorHAnsi"/>
          <w:sz w:val="24"/>
          <w:szCs w:val="24"/>
        </w:rPr>
        <w:t xml:space="preserve"> de la PNA et des stratégies sous-sectorielles</w:t>
      </w:r>
      <w:bookmarkEnd w:id="86"/>
    </w:p>
    <w:p w:rsidR="004C04AB" w:rsidRPr="00A929CE" w:rsidRDefault="004C04AB" w:rsidP="00A929CE">
      <w:pPr>
        <w:pStyle w:val="BodyTextind1"/>
        <w:numPr>
          <w:ilvl w:val="0"/>
          <w:numId w:val="43"/>
        </w:numPr>
        <w:spacing w:line="360" w:lineRule="auto"/>
        <w:rPr>
          <w:rFonts w:asciiTheme="minorHAnsi" w:hAnsiTheme="minorHAnsi" w:cstheme="minorHAnsi"/>
          <w:sz w:val="24"/>
          <w:szCs w:val="24"/>
        </w:rPr>
      </w:pPr>
      <w:r w:rsidRPr="00A929CE">
        <w:rPr>
          <w:rFonts w:asciiTheme="minorHAnsi" w:hAnsiTheme="minorHAnsi" w:cstheme="minorHAnsi"/>
          <w:sz w:val="24"/>
          <w:szCs w:val="24"/>
        </w:rPr>
        <w:t>Reformuler les objectifs de la PNA_Horizon 2030 pour prendre en compte le contexte actuel et les projections dans le cadre de l’agenda 2030 ;</w:t>
      </w:r>
    </w:p>
    <w:p w:rsidR="004C04AB" w:rsidRPr="00A929CE" w:rsidRDefault="004C04AB" w:rsidP="00A929CE">
      <w:pPr>
        <w:pStyle w:val="BodyTextind1"/>
        <w:numPr>
          <w:ilvl w:val="0"/>
          <w:numId w:val="43"/>
        </w:numPr>
        <w:spacing w:line="360" w:lineRule="auto"/>
        <w:rPr>
          <w:rFonts w:asciiTheme="minorHAnsi" w:hAnsiTheme="minorHAnsi" w:cstheme="minorHAnsi"/>
          <w:sz w:val="24"/>
          <w:szCs w:val="24"/>
        </w:rPr>
      </w:pPr>
      <w:r w:rsidRPr="00A929CE">
        <w:rPr>
          <w:rFonts w:asciiTheme="minorHAnsi" w:hAnsiTheme="minorHAnsi" w:cstheme="minorHAnsi"/>
          <w:sz w:val="24"/>
          <w:szCs w:val="24"/>
        </w:rPr>
        <w:t>Etablir un fort lien entre les ODD et le Objectifs de la nouvelle PNA et ses stratégies sous-sectorielles ;</w:t>
      </w:r>
    </w:p>
    <w:p w:rsidR="004C04AB" w:rsidRPr="00A929CE" w:rsidRDefault="004C04AB" w:rsidP="00A929CE">
      <w:pPr>
        <w:pStyle w:val="BodyTextind1"/>
        <w:numPr>
          <w:ilvl w:val="0"/>
          <w:numId w:val="43"/>
        </w:numPr>
        <w:spacing w:line="360" w:lineRule="auto"/>
        <w:rPr>
          <w:rFonts w:asciiTheme="minorHAnsi" w:hAnsiTheme="minorHAnsi" w:cstheme="minorHAnsi"/>
          <w:sz w:val="24"/>
          <w:szCs w:val="24"/>
        </w:rPr>
      </w:pPr>
      <w:r w:rsidRPr="00A929CE">
        <w:rPr>
          <w:rFonts w:asciiTheme="minorHAnsi" w:hAnsiTheme="minorHAnsi" w:cstheme="minorHAnsi"/>
          <w:sz w:val="24"/>
          <w:szCs w:val="24"/>
        </w:rPr>
        <w:t xml:space="preserve">Veiller à ce que l’orientation vers les ODD devient une préoccupation permanente dans la planification et le suivi-évaluation. </w:t>
      </w:r>
    </w:p>
    <w:p w:rsidR="004C04AB" w:rsidRPr="00A929CE" w:rsidRDefault="004C04AB" w:rsidP="00A929CE">
      <w:pPr>
        <w:pStyle w:val="Titre3"/>
        <w:keepNext/>
        <w:spacing w:line="360" w:lineRule="auto"/>
        <w:ind w:left="1134" w:hanging="1134"/>
        <w:jc w:val="both"/>
        <w:rPr>
          <w:rFonts w:asciiTheme="minorHAnsi" w:hAnsiTheme="minorHAnsi" w:cstheme="minorHAnsi"/>
          <w:sz w:val="24"/>
          <w:szCs w:val="24"/>
        </w:rPr>
      </w:pPr>
      <w:bookmarkStart w:id="87" w:name="_Toc481132726"/>
      <w:bookmarkStart w:id="88" w:name="_Toc536448614"/>
      <w:r w:rsidRPr="00A929CE">
        <w:rPr>
          <w:rFonts w:asciiTheme="minorHAnsi" w:hAnsiTheme="minorHAnsi" w:cstheme="minorHAnsi"/>
          <w:sz w:val="24"/>
          <w:szCs w:val="24"/>
        </w:rPr>
        <w:t xml:space="preserve">Recommandation pour encadrer le processus de </w:t>
      </w:r>
      <w:r w:rsidR="00EB1AE8" w:rsidRPr="00A929CE">
        <w:rPr>
          <w:rFonts w:asciiTheme="minorHAnsi" w:hAnsiTheme="minorHAnsi" w:cstheme="minorHAnsi"/>
          <w:sz w:val="24"/>
          <w:szCs w:val="24"/>
        </w:rPr>
        <w:t xml:space="preserve">relecture et de </w:t>
      </w:r>
      <w:r w:rsidRPr="00A929CE">
        <w:rPr>
          <w:rFonts w:asciiTheme="minorHAnsi" w:hAnsiTheme="minorHAnsi" w:cstheme="minorHAnsi"/>
          <w:sz w:val="24"/>
          <w:szCs w:val="24"/>
        </w:rPr>
        <w:t>formulation d</w:t>
      </w:r>
      <w:r w:rsidR="00EB1AE8" w:rsidRPr="00A929CE">
        <w:rPr>
          <w:rFonts w:asciiTheme="minorHAnsi" w:hAnsiTheme="minorHAnsi" w:cstheme="minorHAnsi"/>
          <w:sz w:val="24"/>
          <w:szCs w:val="24"/>
        </w:rPr>
        <w:t>e la PNA_Horizon 2030</w:t>
      </w:r>
      <w:bookmarkEnd w:id="87"/>
      <w:bookmarkEnd w:id="88"/>
    </w:p>
    <w:p w:rsidR="00EB1AE8" w:rsidRPr="00A929CE" w:rsidRDefault="00EB1AE8" w:rsidP="00A929CE">
      <w:pPr>
        <w:pStyle w:val="BodyTextind1"/>
        <w:numPr>
          <w:ilvl w:val="0"/>
          <w:numId w:val="43"/>
        </w:numPr>
        <w:spacing w:line="360" w:lineRule="auto"/>
        <w:rPr>
          <w:rFonts w:asciiTheme="minorHAnsi" w:hAnsiTheme="minorHAnsi" w:cstheme="minorHAnsi"/>
          <w:sz w:val="24"/>
          <w:szCs w:val="24"/>
        </w:rPr>
      </w:pPr>
      <w:r w:rsidRPr="00A929CE">
        <w:rPr>
          <w:rFonts w:asciiTheme="minorHAnsi" w:hAnsiTheme="minorHAnsi" w:cstheme="minorHAnsi"/>
          <w:sz w:val="24"/>
          <w:szCs w:val="24"/>
        </w:rPr>
        <w:t>Nécessité de la formulation d’une vision nationale pour l’assainissement</w:t>
      </w:r>
    </w:p>
    <w:p w:rsidR="00EB1AE8" w:rsidRPr="00A929CE" w:rsidRDefault="00EB1AE8" w:rsidP="00A929CE">
      <w:pPr>
        <w:pStyle w:val="BodyTextind1"/>
        <w:numPr>
          <w:ilvl w:val="0"/>
          <w:numId w:val="43"/>
        </w:numPr>
        <w:spacing w:line="360" w:lineRule="auto"/>
        <w:rPr>
          <w:rFonts w:asciiTheme="minorHAnsi" w:hAnsiTheme="minorHAnsi" w:cstheme="minorHAnsi"/>
          <w:sz w:val="24"/>
          <w:szCs w:val="24"/>
        </w:rPr>
      </w:pPr>
      <w:r w:rsidRPr="00A929CE">
        <w:rPr>
          <w:rFonts w:asciiTheme="minorHAnsi" w:hAnsiTheme="minorHAnsi" w:cstheme="minorHAnsi"/>
          <w:sz w:val="24"/>
          <w:szCs w:val="24"/>
        </w:rPr>
        <w:t xml:space="preserve">Assurer un réel leadership de l’ETAT dans le </w:t>
      </w:r>
      <w:r w:rsidR="00F25F89" w:rsidRPr="00A929CE">
        <w:rPr>
          <w:rFonts w:asciiTheme="minorHAnsi" w:hAnsiTheme="minorHAnsi" w:cstheme="minorHAnsi"/>
          <w:sz w:val="24"/>
          <w:szCs w:val="24"/>
        </w:rPr>
        <w:t>sous-secteur</w:t>
      </w:r>
      <w:r w:rsidRPr="00A929CE">
        <w:rPr>
          <w:rFonts w:asciiTheme="minorHAnsi" w:hAnsiTheme="minorHAnsi" w:cstheme="minorHAnsi"/>
          <w:sz w:val="24"/>
          <w:szCs w:val="24"/>
        </w:rPr>
        <w:t xml:space="preserve"> de l’assainissement ;</w:t>
      </w:r>
    </w:p>
    <w:p w:rsidR="004C04AB" w:rsidRPr="00A929CE" w:rsidRDefault="004C04AB" w:rsidP="00A929CE">
      <w:pPr>
        <w:pStyle w:val="BodyTextind1"/>
        <w:numPr>
          <w:ilvl w:val="0"/>
          <w:numId w:val="43"/>
        </w:numPr>
        <w:spacing w:line="360" w:lineRule="auto"/>
        <w:rPr>
          <w:rFonts w:asciiTheme="minorHAnsi" w:hAnsiTheme="minorHAnsi" w:cstheme="minorHAnsi"/>
          <w:sz w:val="24"/>
          <w:szCs w:val="24"/>
        </w:rPr>
      </w:pPr>
      <w:r w:rsidRPr="00A929CE">
        <w:rPr>
          <w:rFonts w:asciiTheme="minorHAnsi" w:hAnsiTheme="minorHAnsi" w:cstheme="minorHAnsi"/>
          <w:sz w:val="24"/>
          <w:szCs w:val="24"/>
        </w:rPr>
        <w:t>Il serait utile et nécessaire qu’à l’entame de la formulation d</w:t>
      </w:r>
      <w:r w:rsidR="00D861DD" w:rsidRPr="00A929CE">
        <w:rPr>
          <w:rFonts w:asciiTheme="minorHAnsi" w:hAnsiTheme="minorHAnsi" w:cstheme="minorHAnsi"/>
          <w:sz w:val="24"/>
          <w:szCs w:val="24"/>
        </w:rPr>
        <w:t>e la nouvelle PNA</w:t>
      </w:r>
      <w:r w:rsidRPr="00A929CE">
        <w:rPr>
          <w:rFonts w:asciiTheme="minorHAnsi" w:hAnsiTheme="minorHAnsi" w:cstheme="minorHAnsi"/>
          <w:sz w:val="24"/>
          <w:szCs w:val="24"/>
        </w:rPr>
        <w:t>, une entente entre les parties prenantes soit trouvée pour retenir un format du cadre logique/matrice des résultats ;</w:t>
      </w:r>
    </w:p>
    <w:p w:rsidR="004C04AB" w:rsidRPr="00A929CE" w:rsidRDefault="004C04AB" w:rsidP="00A929CE">
      <w:pPr>
        <w:pStyle w:val="BodyTextind1"/>
        <w:numPr>
          <w:ilvl w:val="0"/>
          <w:numId w:val="43"/>
        </w:numPr>
        <w:tabs>
          <w:tab w:val="left" w:pos="5430"/>
        </w:tabs>
        <w:spacing w:line="360" w:lineRule="auto"/>
        <w:rPr>
          <w:rFonts w:asciiTheme="minorHAnsi" w:hAnsiTheme="minorHAnsi" w:cstheme="minorHAnsi"/>
          <w:sz w:val="24"/>
          <w:szCs w:val="24"/>
        </w:rPr>
      </w:pPr>
      <w:r w:rsidRPr="00A929CE">
        <w:rPr>
          <w:rFonts w:asciiTheme="minorHAnsi" w:hAnsiTheme="minorHAnsi" w:cstheme="minorHAnsi"/>
          <w:sz w:val="24"/>
          <w:szCs w:val="24"/>
        </w:rPr>
        <w:t xml:space="preserve">Elaborer la structure du manuel de suivi évaluation en tenant compte des différentes initiatives actuelles en cours pour améliorer le système de suivi-évaluation du </w:t>
      </w:r>
      <w:r w:rsidR="00D861DD" w:rsidRPr="00A929CE">
        <w:rPr>
          <w:rFonts w:asciiTheme="minorHAnsi" w:hAnsiTheme="minorHAnsi" w:cstheme="minorHAnsi"/>
          <w:sz w:val="24"/>
          <w:szCs w:val="24"/>
        </w:rPr>
        <w:t>sous-</w:t>
      </w:r>
      <w:r w:rsidRPr="00A929CE">
        <w:rPr>
          <w:rFonts w:asciiTheme="minorHAnsi" w:hAnsiTheme="minorHAnsi" w:cstheme="minorHAnsi"/>
          <w:sz w:val="24"/>
          <w:szCs w:val="24"/>
        </w:rPr>
        <w:t>secteur assainissement ;</w:t>
      </w:r>
    </w:p>
    <w:p w:rsidR="00DE5EE5" w:rsidRPr="00A929CE" w:rsidRDefault="00DE5EE5" w:rsidP="00A929CE">
      <w:pPr>
        <w:pStyle w:val="BodyText"/>
        <w:numPr>
          <w:ilvl w:val="0"/>
          <w:numId w:val="43"/>
        </w:numPr>
        <w:spacing w:line="360" w:lineRule="auto"/>
        <w:rPr>
          <w:rFonts w:asciiTheme="minorHAnsi" w:hAnsiTheme="minorHAnsi"/>
          <w:sz w:val="24"/>
          <w:szCs w:val="24"/>
        </w:rPr>
      </w:pPr>
      <w:r w:rsidRPr="00A929CE">
        <w:rPr>
          <w:rFonts w:asciiTheme="minorHAnsi" w:hAnsiTheme="minorHAnsi"/>
          <w:sz w:val="24"/>
          <w:szCs w:val="24"/>
        </w:rPr>
        <w:t>Renforcer le soutien au développement de l’approche « ATPC » en l’élargissant aux réalisations physiques d’ouvrages répondant aux exigences contenues dans l’ODD 6.</w:t>
      </w:r>
    </w:p>
    <w:p w:rsidR="00F25F89" w:rsidRPr="00A929CE" w:rsidRDefault="00F25F89" w:rsidP="00A929CE">
      <w:pPr>
        <w:pStyle w:val="BodyText"/>
        <w:spacing w:line="360" w:lineRule="auto"/>
        <w:rPr>
          <w:rFonts w:asciiTheme="minorHAnsi" w:hAnsiTheme="minorHAnsi" w:cstheme="minorHAnsi"/>
          <w:sz w:val="24"/>
          <w:szCs w:val="24"/>
        </w:rPr>
      </w:pPr>
    </w:p>
    <w:p w:rsidR="009466C9" w:rsidRPr="00A929CE" w:rsidRDefault="009466C9" w:rsidP="00A929CE">
      <w:pPr>
        <w:pStyle w:val="BodyText"/>
        <w:spacing w:line="360" w:lineRule="auto"/>
        <w:rPr>
          <w:rFonts w:asciiTheme="minorHAnsi" w:hAnsiTheme="minorHAnsi" w:cstheme="minorHAnsi"/>
          <w:sz w:val="24"/>
          <w:szCs w:val="24"/>
        </w:rPr>
      </w:pPr>
    </w:p>
    <w:p w:rsidR="00401831" w:rsidRPr="00A929CE" w:rsidRDefault="00401831" w:rsidP="00A929CE">
      <w:pPr>
        <w:pStyle w:val="BodyText"/>
        <w:spacing w:line="360" w:lineRule="auto"/>
        <w:rPr>
          <w:rFonts w:asciiTheme="minorHAnsi" w:hAnsiTheme="minorHAnsi" w:cstheme="minorHAnsi"/>
          <w:sz w:val="24"/>
          <w:szCs w:val="24"/>
        </w:rPr>
        <w:sectPr w:rsidR="00401831" w:rsidRPr="00A929CE" w:rsidSect="003154FC">
          <w:pgSz w:w="11906" w:h="16838"/>
          <w:pgMar w:top="1417" w:right="1417" w:bottom="1417" w:left="1417" w:header="708" w:footer="708" w:gutter="0"/>
          <w:cols w:space="708"/>
          <w:docGrid w:linePitch="360"/>
        </w:sectPr>
      </w:pPr>
    </w:p>
    <w:p w:rsidR="00647D81" w:rsidRPr="00A929CE" w:rsidRDefault="002431B0" w:rsidP="00A929CE">
      <w:pPr>
        <w:pStyle w:val="Titre1"/>
        <w:spacing w:line="360" w:lineRule="auto"/>
        <w:jc w:val="both"/>
        <w:rPr>
          <w:rFonts w:asciiTheme="minorHAnsi" w:hAnsiTheme="minorHAnsi" w:cstheme="minorHAnsi"/>
          <w:sz w:val="24"/>
          <w:szCs w:val="24"/>
        </w:rPr>
      </w:pPr>
      <w:bookmarkStart w:id="89" w:name="_Toc536448615"/>
      <w:r w:rsidRPr="00A929CE">
        <w:rPr>
          <w:rFonts w:asciiTheme="minorHAnsi" w:hAnsiTheme="minorHAnsi" w:cstheme="minorHAnsi"/>
          <w:sz w:val="24"/>
          <w:szCs w:val="24"/>
        </w:rPr>
        <w:t>ANNEXES</w:t>
      </w:r>
      <w:bookmarkEnd w:id="89"/>
    </w:p>
    <w:p w:rsidR="0020415B" w:rsidRPr="00A929CE" w:rsidRDefault="0020415B" w:rsidP="00A929CE">
      <w:pPr>
        <w:pStyle w:val="BodyText"/>
        <w:spacing w:line="360" w:lineRule="auto"/>
        <w:rPr>
          <w:rFonts w:asciiTheme="minorHAnsi" w:hAnsiTheme="minorHAnsi"/>
          <w:sz w:val="24"/>
          <w:szCs w:val="24"/>
        </w:rPr>
        <w:sectPr w:rsidR="0020415B" w:rsidRPr="00A929CE">
          <w:pgSz w:w="11906" w:h="16838"/>
          <w:pgMar w:top="1417" w:right="1417" w:bottom="1417" w:left="1417" w:header="708" w:footer="708" w:gutter="0"/>
          <w:cols w:space="708"/>
          <w:docGrid w:linePitch="360"/>
        </w:sectPr>
      </w:pPr>
    </w:p>
    <w:p w:rsidR="0020415B" w:rsidRPr="00A929CE" w:rsidRDefault="0020415B" w:rsidP="00A929CE">
      <w:pPr>
        <w:pStyle w:val="Titre2"/>
        <w:spacing w:line="360" w:lineRule="auto"/>
        <w:rPr>
          <w:rFonts w:asciiTheme="minorHAnsi" w:hAnsiTheme="minorHAnsi"/>
          <w:szCs w:val="24"/>
        </w:rPr>
      </w:pPr>
      <w:bookmarkStart w:id="90" w:name="_Toc536448616"/>
      <w:r w:rsidRPr="00A929CE">
        <w:rPr>
          <w:rFonts w:asciiTheme="minorHAnsi" w:hAnsiTheme="minorHAnsi"/>
          <w:szCs w:val="24"/>
        </w:rPr>
        <w:t>Annexe 1 : Guide entretien PTF</w:t>
      </w:r>
      <w:bookmarkEnd w:id="90"/>
    </w:p>
    <w:p w:rsidR="0020415B" w:rsidRPr="001754BB" w:rsidRDefault="0020415B" w:rsidP="00B8772C">
      <w:pPr>
        <w:pStyle w:val="Titre"/>
        <w:spacing w:line="360" w:lineRule="auto"/>
        <w:jc w:val="both"/>
        <w:rPr>
          <w:rFonts w:asciiTheme="minorHAnsi" w:hAnsiTheme="minorHAnsi"/>
          <w:sz w:val="24"/>
          <w:szCs w:val="24"/>
        </w:rPr>
      </w:pPr>
      <w:r w:rsidRPr="00B8772C">
        <w:rPr>
          <w:rFonts w:asciiTheme="minorHAnsi" w:hAnsiTheme="minorHAnsi"/>
          <w:sz w:val="24"/>
          <w:szCs w:val="24"/>
        </w:rPr>
        <w:t>Guide Entretien PTF dans le cadre de la révision de la PNA</w:t>
      </w:r>
    </w:p>
    <w:p w:rsidR="0020415B" w:rsidRPr="001754BB" w:rsidRDefault="0020415B" w:rsidP="00B8772C">
      <w:pPr>
        <w:spacing w:line="360" w:lineRule="auto"/>
        <w:jc w:val="both"/>
        <w:rPr>
          <w:rFonts w:asciiTheme="minorHAnsi" w:hAnsiTheme="minorHAnsi" w:cstheme="minorHAnsi"/>
          <w:color w:val="000000" w:themeColor="text1"/>
          <w:sz w:val="24"/>
          <w:szCs w:val="24"/>
        </w:rPr>
      </w:pPr>
      <w:r w:rsidRPr="001754BB">
        <w:rPr>
          <w:rFonts w:asciiTheme="minorHAnsi" w:hAnsiTheme="minorHAnsi" w:cstheme="minorHAnsi"/>
          <w:color w:val="000000" w:themeColor="text1"/>
          <w:sz w:val="24"/>
          <w:szCs w:val="24"/>
        </w:rPr>
        <w:t>Introduction : La PNA nécessite une actualisation</w:t>
      </w:r>
    </w:p>
    <w:p w:rsidR="0020415B" w:rsidRPr="00BC7FF5" w:rsidRDefault="0020415B" w:rsidP="001754BB">
      <w:pPr>
        <w:spacing w:line="360" w:lineRule="auto"/>
        <w:jc w:val="both"/>
        <w:rPr>
          <w:rFonts w:asciiTheme="minorHAnsi" w:hAnsiTheme="minorHAnsi" w:cstheme="minorHAnsi"/>
          <w:color w:val="000000" w:themeColor="text1"/>
          <w:sz w:val="24"/>
          <w:szCs w:val="24"/>
        </w:rPr>
      </w:pPr>
    </w:p>
    <w:p w:rsidR="0020415B" w:rsidRPr="00112EE9" w:rsidRDefault="0020415B" w:rsidP="001754BB">
      <w:pPr>
        <w:pStyle w:val="Paragraphedeliste"/>
        <w:numPr>
          <w:ilvl w:val="0"/>
          <w:numId w:val="52"/>
        </w:numPr>
        <w:spacing w:line="360" w:lineRule="auto"/>
        <w:contextualSpacing w:val="0"/>
        <w:jc w:val="both"/>
        <w:rPr>
          <w:rFonts w:asciiTheme="minorHAnsi" w:hAnsiTheme="minorHAnsi" w:cstheme="minorHAnsi"/>
          <w:color w:val="000000" w:themeColor="text1"/>
          <w:sz w:val="24"/>
          <w:szCs w:val="24"/>
        </w:rPr>
      </w:pPr>
      <w:r w:rsidRPr="00112EE9">
        <w:rPr>
          <w:rFonts w:asciiTheme="minorHAnsi" w:hAnsiTheme="minorHAnsi" w:cstheme="minorHAnsi"/>
          <w:color w:val="000000" w:themeColor="text1"/>
          <w:sz w:val="24"/>
          <w:szCs w:val="24"/>
        </w:rPr>
        <w:t>D’une manière ramassée, comment qualifierez-vous la situation de l’assainissement au Mali, pris par volet (déchets solides, liquides, pluviales, spéciaux et la question de transfert des compétences)</w:t>
      </w:r>
    </w:p>
    <w:p w:rsidR="0020415B" w:rsidRPr="00D863B8" w:rsidRDefault="0020415B" w:rsidP="00BC7FF5">
      <w:pPr>
        <w:pStyle w:val="Paragraphedeliste"/>
        <w:numPr>
          <w:ilvl w:val="0"/>
          <w:numId w:val="52"/>
        </w:numPr>
        <w:spacing w:line="360" w:lineRule="auto"/>
        <w:contextualSpacing w:val="0"/>
        <w:jc w:val="both"/>
        <w:rPr>
          <w:rFonts w:asciiTheme="minorHAnsi" w:hAnsiTheme="minorHAnsi" w:cstheme="minorHAnsi"/>
          <w:color w:val="000000" w:themeColor="text1"/>
          <w:sz w:val="24"/>
          <w:szCs w:val="24"/>
        </w:rPr>
      </w:pPr>
      <w:r w:rsidRPr="00112EE9">
        <w:rPr>
          <w:rFonts w:asciiTheme="minorHAnsi" w:hAnsiTheme="minorHAnsi" w:cstheme="minorHAnsi"/>
          <w:color w:val="000000" w:themeColor="text1"/>
          <w:sz w:val="24"/>
          <w:szCs w:val="24"/>
        </w:rPr>
        <w:t xml:space="preserve">Que pensez-vous de la gouvernance du secteur Eau-Assainissement et particulièrement de l’assainissement ? </w:t>
      </w:r>
      <w:r w:rsidRPr="00D863B8">
        <w:rPr>
          <w:rFonts w:asciiTheme="minorHAnsi" w:hAnsiTheme="minorHAnsi" w:cstheme="minorHAnsi"/>
          <w:color w:val="000000" w:themeColor="text1"/>
          <w:sz w:val="24"/>
          <w:szCs w:val="24"/>
          <w:u w:val="single"/>
        </w:rPr>
        <w:t>Question subsidiaire</w:t>
      </w:r>
      <w:r w:rsidRPr="00D863B8">
        <w:rPr>
          <w:rFonts w:asciiTheme="minorHAnsi" w:hAnsiTheme="minorHAnsi" w:cstheme="minorHAnsi"/>
          <w:color w:val="000000" w:themeColor="text1"/>
          <w:sz w:val="24"/>
          <w:szCs w:val="24"/>
        </w:rPr>
        <w:t> : Quels sont les défis de la gouvernance du sous-secteur de l’assainissement</w:t>
      </w:r>
    </w:p>
    <w:p w:rsidR="0020415B" w:rsidRPr="00A929CE" w:rsidRDefault="0020415B" w:rsidP="00112EE9">
      <w:pPr>
        <w:pStyle w:val="Paragraphedeliste"/>
        <w:numPr>
          <w:ilvl w:val="0"/>
          <w:numId w:val="52"/>
        </w:numPr>
        <w:spacing w:line="360" w:lineRule="auto"/>
        <w:contextualSpacing w:val="0"/>
        <w:jc w:val="both"/>
        <w:rPr>
          <w:rFonts w:asciiTheme="minorHAnsi" w:hAnsiTheme="minorHAnsi" w:cstheme="minorHAnsi"/>
          <w:color w:val="000000" w:themeColor="text1"/>
          <w:sz w:val="24"/>
          <w:szCs w:val="24"/>
          <w:lang w:eastAsia="en-US"/>
        </w:rPr>
      </w:pPr>
      <w:r w:rsidRPr="00A929CE">
        <w:rPr>
          <w:rFonts w:asciiTheme="minorHAnsi" w:hAnsiTheme="minorHAnsi" w:cstheme="minorHAnsi"/>
          <w:color w:val="000000" w:themeColor="text1"/>
          <w:sz w:val="24"/>
          <w:szCs w:val="24"/>
          <w:lang w:eastAsia="en-US"/>
        </w:rPr>
        <w:t>Quelles réformes pensez-vous qu’on devrait mener pour un meilleur assainissement au Mali ?</w:t>
      </w:r>
    </w:p>
    <w:p w:rsidR="0020415B" w:rsidRPr="00A929CE" w:rsidRDefault="0020415B" w:rsidP="00112EE9">
      <w:pPr>
        <w:pStyle w:val="Paragraphedeliste"/>
        <w:numPr>
          <w:ilvl w:val="0"/>
          <w:numId w:val="52"/>
        </w:numPr>
        <w:spacing w:line="360" w:lineRule="auto"/>
        <w:contextualSpacing w:val="0"/>
        <w:jc w:val="both"/>
        <w:rPr>
          <w:rFonts w:asciiTheme="minorHAnsi" w:hAnsiTheme="minorHAnsi" w:cstheme="minorHAnsi"/>
          <w:color w:val="000000" w:themeColor="text1"/>
          <w:sz w:val="24"/>
          <w:szCs w:val="24"/>
          <w:lang w:eastAsia="en-US"/>
        </w:rPr>
      </w:pPr>
      <w:r w:rsidRPr="00A929CE">
        <w:rPr>
          <w:rFonts w:asciiTheme="minorHAnsi" w:hAnsiTheme="minorHAnsi" w:cstheme="minorHAnsi"/>
          <w:color w:val="000000" w:themeColor="text1"/>
          <w:sz w:val="24"/>
          <w:szCs w:val="24"/>
          <w:lang w:eastAsia="en-US"/>
        </w:rPr>
        <w:t>Pensez-vous que la PNA a été suffisamment mise en œuvre ? sinon qu’elles ont les lacunes dans la mise en œuvre ?</w:t>
      </w:r>
    </w:p>
    <w:p w:rsidR="0020415B" w:rsidRPr="00A929CE" w:rsidRDefault="0020415B" w:rsidP="00A929CE">
      <w:pPr>
        <w:pStyle w:val="Paragraphedeliste"/>
        <w:numPr>
          <w:ilvl w:val="0"/>
          <w:numId w:val="52"/>
        </w:numPr>
        <w:spacing w:line="360" w:lineRule="auto"/>
        <w:contextualSpacing w:val="0"/>
        <w:jc w:val="both"/>
        <w:rPr>
          <w:rFonts w:asciiTheme="minorHAnsi" w:hAnsiTheme="minorHAnsi" w:cstheme="minorHAnsi"/>
          <w:color w:val="000000" w:themeColor="text1"/>
          <w:sz w:val="24"/>
          <w:szCs w:val="24"/>
          <w:lang w:eastAsia="en-US"/>
        </w:rPr>
      </w:pPr>
      <w:r w:rsidRPr="00A929CE">
        <w:rPr>
          <w:rFonts w:asciiTheme="minorHAnsi" w:hAnsiTheme="minorHAnsi" w:cstheme="minorHAnsi"/>
          <w:color w:val="000000" w:themeColor="text1"/>
          <w:sz w:val="24"/>
          <w:szCs w:val="24"/>
          <w:lang w:eastAsia="en-US"/>
        </w:rPr>
        <w:t>Dans l’optique de la présente révision, sur quoi devrions-nous mettre l’accent en termes de volets d’assainissement ou d’aspects institutionnels ?</w:t>
      </w:r>
    </w:p>
    <w:p w:rsidR="0020415B" w:rsidRPr="00A929CE" w:rsidRDefault="0020415B" w:rsidP="00A929CE">
      <w:pPr>
        <w:pStyle w:val="Paragraphedeliste"/>
        <w:numPr>
          <w:ilvl w:val="0"/>
          <w:numId w:val="52"/>
        </w:numPr>
        <w:spacing w:line="360" w:lineRule="auto"/>
        <w:contextualSpacing w:val="0"/>
        <w:jc w:val="both"/>
        <w:rPr>
          <w:rFonts w:asciiTheme="minorHAnsi" w:hAnsiTheme="minorHAnsi" w:cstheme="minorHAnsi"/>
          <w:color w:val="000000" w:themeColor="text1"/>
          <w:sz w:val="24"/>
          <w:szCs w:val="24"/>
          <w:lang w:eastAsia="en-US"/>
        </w:rPr>
      </w:pPr>
      <w:r w:rsidRPr="00A929CE">
        <w:rPr>
          <w:rFonts w:asciiTheme="minorHAnsi" w:hAnsiTheme="minorHAnsi" w:cstheme="minorHAnsi"/>
          <w:color w:val="000000" w:themeColor="text1"/>
          <w:sz w:val="24"/>
          <w:szCs w:val="24"/>
          <w:lang w:eastAsia="en-US"/>
        </w:rPr>
        <w:t>De quelles compétences a-t-on actuellement besoin dans le sous-secteur de l’assainissement au Mali ?</w:t>
      </w:r>
    </w:p>
    <w:p w:rsidR="0020415B" w:rsidRPr="00A929CE" w:rsidRDefault="0020415B" w:rsidP="00A929CE">
      <w:pPr>
        <w:pStyle w:val="Paragraphedeliste"/>
        <w:numPr>
          <w:ilvl w:val="0"/>
          <w:numId w:val="52"/>
        </w:numPr>
        <w:spacing w:line="360" w:lineRule="auto"/>
        <w:contextualSpacing w:val="0"/>
        <w:jc w:val="both"/>
        <w:rPr>
          <w:rFonts w:asciiTheme="minorHAnsi" w:hAnsiTheme="minorHAnsi" w:cstheme="minorHAnsi"/>
          <w:color w:val="000000" w:themeColor="text1"/>
          <w:sz w:val="24"/>
          <w:szCs w:val="24"/>
          <w:lang w:eastAsia="en-US"/>
        </w:rPr>
      </w:pPr>
      <w:r w:rsidRPr="00A929CE">
        <w:rPr>
          <w:rFonts w:asciiTheme="minorHAnsi" w:hAnsiTheme="minorHAnsi" w:cstheme="minorHAnsi"/>
          <w:color w:val="000000" w:themeColor="text1"/>
          <w:sz w:val="24"/>
          <w:szCs w:val="24"/>
          <w:lang w:eastAsia="en-US"/>
        </w:rPr>
        <w:t>Comment voyez-vous dans les grandes lignes, la politique de financement de l’assainissement au Mali ?</w:t>
      </w:r>
    </w:p>
    <w:p w:rsidR="0020415B" w:rsidRPr="00A929CE" w:rsidRDefault="0020415B" w:rsidP="00A929CE">
      <w:pPr>
        <w:pStyle w:val="Paragraphedeliste"/>
        <w:numPr>
          <w:ilvl w:val="0"/>
          <w:numId w:val="52"/>
        </w:numPr>
        <w:spacing w:line="360" w:lineRule="auto"/>
        <w:contextualSpacing w:val="0"/>
        <w:jc w:val="both"/>
        <w:rPr>
          <w:rFonts w:asciiTheme="minorHAnsi" w:hAnsiTheme="minorHAnsi" w:cstheme="minorHAnsi"/>
          <w:sz w:val="24"/>
          <w:szCs w:val="24"/>
        </w:rPr>
      </w:pPr>
      <w:r w:rsidRPr="00A929CE">
        <w:rPr>
          <w:rFonts w:asciiTheme="minorHAnsi" w:hAnsiTheme="minorHAnsi" w:cstheme="minorHAnsi"/>
          <w:sz w:val="24"/>
          <w:szCs w:val="24"/>
        </w:rPr>
        <w:t>Comment mettre en œuvre d’une manière optimale les compétences transférées aux communes en matière d’eau et Assainissement ?</w:t>
      </w:r>
    </w:p>
    <w:p w:rsidR="0020415B" w:rsidRPr="00A929CE" w:rsidRDefault="0020415B" w:rsidP="00A929CE">
      <w:pPr>
        <w:pStyle w:val="Paragraphedeliste"/>
        <w:numPr>
          <w:ilvl w:val="0"/>
          <w:numId w:val="52"/>
        </w:numPr>
        <w:spacing w:line="360" w:lineRule="auto"/>
        <w:contextualSpacing w:val="0"/>
        <w:jc w:val="both"/>
        <w:rPr>
          <w:rFonts w:asciiTheme="minorHAnsi" w:hAnsiTheme="minorHAnsi" w:cstheme="minorHAnsi"/>
          <w:sz w:val="24"/>
          <w:szCs w:val="24"/>
        </w:rPr>
      </w:pPr>
      <w:r w:rsidRPr="00A929CE">
        <w:rPr>
          <w:rFonts w:asciiTheme="minorHAnsi" w:hAnsiTheme="minorHAnsi" w:cstheme="minorHAnsi"/>
          <w:sz w:val="24"/>
          <w:szCs w:val="24"/>
        </w:rPr>
        <w:t>Comment appuyer la mise en œuvre adéquate de cette maîtrise d’ouvrage ?</w:t>
      </w:r>
    </w:p>
    <w:p w:rsidR="0020415B" w:rsidRPr="00A929CE" w:rsidRDefault="0020415B" w:rsidP="00A929CE">
      <w:pPr>
        <w:pStyle w:val="Paragraphedeliste"/>
        <w:numPr>
          <w:ilvl w:val="0"/>
          <w:numId w:val="52"/>
        </w:numPr>
        <w:spacing w:line="360" w:lineRule="auto"/>
        <w:contextualSpacing w:val="0"/>
        <w:jc w:val="both"/>
        <w:rPr>
          <w:rFonts w:asciiTheme="minorHAnsi" w:hAnsiTheme="minorHAnsi" w:cstheme="minorHAnsi"/>
          <w:sz w:val="24"/>
          <w:szCs w:val="24"/>
        </w:rPr>
      </w:pPr>
      <w:r w:rsidRPr="00A929CE">
        <w:rPr>
          <w:rFonts w:asciiTheme="minorHAnsi" w:hAnsiTheme="minorHAnsi" w:cstheme="minorHAnsi"/>
          <w:sz w:val="24"/>
          <w:szCs w:val="24"/>
        </w:rPr>
        <w:t>Que pensez-vous de l’ancrage institutionnel du secteur Eau-Assainissement actuel du Mali ?</w:t>
      </w:r>
    </w:p>
    <w:p w:rsidR="0020415B" w:rsidRPr="00A929CE" w:rsidRDefault="0020415B" w:rsidP="00A929CE">
      <w:pPr>
        <w:pStyle w:val="Paragraphedeliste"/>
        <w:numPr>
          <w:ilvl w:val="0"/>
          <w:numId w:val="52"/>
        </w:numPr>
        <w:spacing w:line="360" w:lineRule="auto"/>
        <w:contextualSpacing w:val="0"/>
        <w:jc w:val="both"/>
        <w:rPr>
          <w:rFonts w:asciiTheme="minorHAnsi" w:hAnsiTheme="minorHAnsi" w:cstheme="minorHAnsi"/>
          <w:sz w:val="24"/>
          <w:szCs w:val="24"/>
        </w:rPr>
      </w:pPr>
      <w:r w:rsidRPr="00A929CE">
        <w:rPr>
          <w:rFonts w:asciiTheme="minorHAnsi" w:hAnsiTheme="minorHAnsi" w:cstheme="minorHAnsi"/>
          <w:sz w:val="24"/>
          <w:szCs w:val="24"/>
        </w:rPr>
        <w:t>Qu’elles peuvent être à votre avis les éléments d’une vision nationale de l’assainissement à l’horizon 2030 et en lien avec les ODD ?</w:t>
      </w:r>
    </w:p>
    <w:p w:rsidR="0020415B" w:rsidRPr="00A929CE" w:rsidRDefault="0020415B" w:rsidP="00A929CE">
      <w:pPr>
        <w:pStyle w:val="Titre1"/>
        <w:numPr>
          <w:ilvl w:val="0"/>
          <w:numId w:val="0"/>
        </w:numPr>
        <w:spacing w:line="360" w:lineRule="auto"/>
        <w:ind w:left="432" w:hanging="432"/>
        <w:jc w:val="both"/>
        <w:rPr>
          <w:rFonts w:asciiTheme="minorHAnsi" w:hAnsiTheme="minorHAnsi" w:cstheme="minorHAnsi"/>
          <w:sz w:val="24"/>
          <w:szCs w:val="24"/>
        </w:rPr>
      </w:pPr>
    </w:p>
    <w:p w:rsidR="0020415B" w:rsidRPr="00A929CE" w:rsidRDefault="0020415B" w:rsidP="00A929CE">
      <w:pPr>
        <w:spacing w:line="360" w:lineRule="auto"/>
        <w:jc w:val="both"/>
        <w:rPr>
          <w:rFonts w:asciiTheme="minorHAnsi" w:hAnsiTheme="minorHAnsi" w:cstheme="minorHAnsi"/>
          <w:sz w:val="24"/>
          <w:szCs w:val="24"/>
        </w:rPr>
        <w:sectPr w:rsidR="0020415B" w:rsidRPr="00A929CE">
          <w:pgSz w:w="11906" w:h="16838"/>
          <w:pgMar w:top="1417" w:right="1417" w:bottom="1417" w:left="1417" w:header="708" w:footer="708" w:gutter="0"/>
          <w:cols w:space="708"/>
          <w:docGrid w:linePitch="360"/>
        </w:sectPr>
      </w:pPr>
    </w:p>
    <w:p w:rsidR="00A32148" w:rsidRPr="00A929CE" w:rsidRDefault="0020415B" w:rsidP="00A929CE">
      <w:pPr>
        <w:pStyle w:val="Titre2"/>
        <w:spacing w:line="360" w:lineRule="auto"/>
        <w:rPr>
          <w:rFonts w:asciiTheme="minorHAnsi" w:hAnsiTheme="minorHAnsi"/>
          <w:szCs w:val="24"/>
        </w:rPr>
      </w:pPr>
      <w:bookmarkStart w:id="91" w:name="_Toc536448617"/>
      <w:r w:rsidRPr="00A929CE">
        <w:rPr>
          <w:rFonts w:asciiTheme="minorHAnsi" w:hAnsiTheme="minorHAnsi"/>
          <w:szCs w:val="24"/>
        </w:rPr>
        <w:t xml:space="preserve">Annexe </w:t>
      </w:r>
      <w:r w:rsidR="00A32148" w:rsidRPr="00A929CE">
        <w:rPr>
          <w:rFonts w:asciiTheme="minorHAnsi" w:hAnsiTheme="minorHAnsi"/>
          <w:szCs w:val="24"/>
        </w:rPr>
        <w:t>2 Guide d’entretien pour la DNACPN</w:t>
      </w:r>
      <w:bookmarkEnd w:id="91"/>
    </w:p>
    <w:p w:rsidR="00647D81" w:rsidRPr="00A929CE" w:rsidRDefault="00647D81" w:rsidP="00A929CE">
      <w:pPr>
        <w:pStyle w:val="BodyHdtxt"/>
        <w:spacing w:line="360" w:lineRule="auto"/>
        <w:rPr>
          <w:rFonts w:asciiTheme="minorHAnsi" w:hAnsiTheme="minorHAnsi"/>
          <w:sz w:val="24"/>
          <w:szCs w:val="24"/>
        </w:rPr>
      </w:pPr>
    </w:p>
    <w:p w:rsidR="00AE5996" w:rsidRPr="001754BB" w:rsidRDefault="00AE5996" w:rsidP="00B8772C">
      <w:pPr>
        <w:pStyle w:val="Paragraphedeliste"/>
        <w:numPr>
          <w:ilvl w:val="0"/>
          <w:numId w:val="53"/>
        </w:numPr>
        <w:spacing w:after="160" w:line="360" w:lineRule="auto"/>
        <w:jc w:val="both"/>
        <w:rPr>
          <w:rFonts w:asciiTheme="minorHAnsi" w:hAnsiTheme="minorHAnsi"/>
          <w:sz w:val="24"/>
          <w:szCs w:val="24"/>
        </w:rPr>
      </w:pPr>
      <w:r w:rsidRPr="00B8772C">
        <w:rPr>
          <w:rFonts w:asciiTheme="minorHAnsi" w:hAnsiTheme="minorHAnsi"/>
          <w:sz w:val="24"/>
          <w:szCs w:val="24"/>
        </w:rPr>
        <w:t>Quel a été le processus de mise en œuvre de la PNA et de ses différentes stratégies ?</w:t>
      </w:r>
    </w:p>
    <w:p w:rsidR="00AE5996" w:rsidRPr="001754BB" w:rsidRDefault="00AE5996" w:rsidP="00B8772C">
      <w:pPr>
        <w:pStyle w:val="Paragraphedeliste"/>
        <w:numPr>
          <w:ilvl w:val="0"/>
          <w:numId w:val="53"/>
        </w:numPr>
        <w:spacing w:after="160" w:line="360" w:lineRule="auto"/>
        <w:jc w:val="both"/>
        <w:rPr>
          <w:rFonts w:asciiTheme="minorHAnsi" w:hAnsiTheme="minorHAnsi"/>
          <w:sz w:val="24"/>
          <w:szCs w:val="24"/>
        </w:rPr>
      </w:pPr>
      <w:r w:rsidRPr="001754BB">
        <w:rPr>
          <w:rFonts w:asciiTheme="minorHAnsi" w:hAnsiTheme="minorHAnsi"/>
          <w:sz w:val="24"/>
          <w:szCs w:val="24"/>
        </w:rPr>
        <w:t>Les plans d’actions des différentes stratégies associés ont –ils été validés ?</w:t>
      </w:r>
    </w:p>
    <w:p w:rsidR="00AE5996" w:rsidRPr="0022409F" w:rsidRDefault="00AE5996" w:rsidP="001754BB">
      <w:pPr>
        <w:pStyle w:val="Paragraphedeliste"/>
        <w:numPr>
          <w:ilvl w:val="0"/>
          <w:numId w:val="53"/>
        </w:numPr>
        <w:spacing w:after="160" w:line="360" w:lineRule="auto"/>
        <w:jc w:val="both"/>
        <w:rPr>
          <w:rFonts w:asciiTheme="minorHAnsi" w:hAnsiTheme="minorHAnsi"/>
          <w:sz w:val="24"/>
          <w:szCs w:val="24"/>
        </w:rPr>
      </w:pPr>
      <w:r w:rsidRPr="00BC7FF5">
        <w:rPr>
          <w:rFonts w:asciiTheme="minorHAnsi" w:hAnsiTheme="minorHAnsi"/>
          <w:sz w:val="24"/>
          <w:szCs w:val="24"/>
        </w:rPr>
        <w:t>Quels sont à votre avis, les succès enregist</w:t>
      </w:r>
      <w:r w:rsidRPr="0022409F">
        <w:rPr>
          <w:rFonts w:asciiTheme="minorHAnsi" w:hAnsiTheme="minorHAnsi"/>
          <w:sz w:val="24"/>
          <w:szCs w:val="24"/>
        </w:rPr>
        <w:t>rés dans le cadre de la mise en œuvre de la PNA et respectivement des différentes stratégies ? (Prendre les stratégies une à une)</w:t>
      </w:r>
    </w:p>
    <w:p w:rsidR="00AE5996" w:rsidRPr="00112EE9" w:rsidRDefault="00AE5996" w:rsidP="001754BB">
      <w:pPr>
        <w:pStyle w:val="Paragraphedeliste"/>
        <w:numPr>
          <w:ilvl w:val="0"/>
          <w:numId w:val="53"/>
        </w:numPr>
        <w:spacing w:after="160" w:line="360" w:lineRule="auto"/>
        <w:jc w:val="both"/>
        <w:rPr>
          <w:rFonts w:asciiTheme="minorHAnsi" w:hAnsiTheme="minorHAnsi"/>
          <w:sz w:val="24"/>
          <w:szCs w:val="24"/>
        </w:rPr>
      </w:pPr>
      <w:r w:rsidRPr="00112EE9">
        <w:rPr>
          <w:rFonts w:asciiTheme="minorHAnsi" w:hAnsiTheme="minorHAnsi"/>
          <w:sz w:val="24"/>
          <w:szCs w:val="24"/>
        </w:rPr>
        <w:t>Quels ont été les échecs ? (Prendre les stratégies une à une)</w:t>
      </w:r>
    </w:p>
    <w:p w:rsidR="00AE5996" w:rsidRPr="00D863B8" w:rsidRDefault="00AE5996" w:rsidP="00BC7FF5">
      <w:pPr>
        <w:pStyle w:val="Paragraphedeliste"/>
        <w:numPr>
          <w:ilvl w:val="0"/>
          <w:numId w:val="53"/>
        </w:numPr>
        <w:spacing w:after="160" w:line="360" w:lineRule="auto"/>
        <w:jc w:val="both"/>
        <w:rPr>
          <w:rFonts w:asciiTheme="minorHAnsi" w:hAnsiTheme="minorHAnsi"/>
          <w:sz w:val="24"/>
          <w:szCs w:val="24"/>
        </w:rPr>
      </w:pPr>
      <w:r w:rsidRPr="00112EE9">
        <w:rPr>
          <w:rFonts w:asciiTheme="minorHAnsi" w:hAnsiTheme="minorHAnsi"/>
          <w:sz w:val="24"/>
          <w:szCs w:val="24"/>
        </w:rPr>
        <w:t>Quels ont été les opportunités qui se sont présentées et qu’on a</w:t>
      </w:r>
      <w:r w:rsidRPr="00D863B8">
        <w:rPr>
          <w:rFonts w:asciiTheme="minorHAnsi" w:hAnsiTheme="minorHAnsi"/>
          <w:sz w:val="24"/>
          <w:szCs w:val="24"/>
        </w:rPr>
        <w:t xml:space="preserve"> exploité ou pas dans la mise en œuvre de la PNA et de ses stratégies associées ? (Prendre les stratégies une à une)</w:t>
      </w:r>
    </w:p>
    <w:p w:rsidR="00AE5996" w:rsidRPr="00A929CE" w:rsidRDefault="00AE5996" w:rsidP="00112EE9">
      <w:pPr>
        <w:pStyle w:val="Paragraphedeliste"/>
        <w:numPr>
          <w:ilvl w:val="0"/>
          <w:numId w:val="53"/>
        </w:numPr>
        <w:spacing w:after="160" w:line="360" w:lineRule="auto"/>
        <w:jc w:val="both"/>
        <w:rPr>
          <w:rFonts w:asciiTheme="minorHAnsi" w:hAnsiTheme="minorHAnsi"/>
          <w:sz w:val="24"/>
          <w:szCs w:val="24"/>
        </w:rPr>
      </w:pPr>
      <w:r w:rsidRPr="00A929CE">
        <w:rPr>
          <w:rFonts w:asciiTheme="minorHAnsi" w:hAnsiTheme="minorHAnsi"/>
          <w:sz w:val="24"/>
          <w:szCs w:val="24"/>
        </w:rPr>
        <w:t>Qu’est ce qui à entraver la mise en œuvre de la PNA et de ses stratégies associées ? (Prendre les stratégies une à une)</w:t>
      </w:r>
    </w:p>
    <w:p w:rsidR="00AE5996" w:rsidRPr="00A929CE" w:rsidRDefault="00AE5996" w:rsidP="00112EE9">
      <w:pPr>
        <w:pStyle w:val="Paragraphedeliste"/>
        <w:numPr>
          <w:ilvl w:val="0"/>
          <w:numId w:val="53"/>
        </w:numPr>
        <w:spacing w:after="160" w:line="360" w:lineRule="auto"/>
        <w:jc w:val="both"/>
        <w:rPr>
          <w:rFonts w:asciiTheme="minorHAnsi" w:hAnsiTheme="minorHAnsi"/>
          <w:sz w:val="24"/>
          <w:szCs w:val="24"/>
        </w:rPr>
      </w:pPr>
      <w:r w:rsidRPr="00A929CE">
        <w:rPr>
          <w:rFonts w:asciiTheme="minorHAnsi" w:hAnsiTheme="minorHAnsi"/>
          <w:sz w:val="24"/>
          <w:szCs w:val="24"/>
        </w:rPr>
        <w:t>Quelles peuvent être à votre avis, les améliorations à introduire dans la PNA_Horizon 2030 et ses stratégies associées ?</w:t>
      </w:r>
    </w:p>
    <w:p w:rsidR="00AE5996" w:rsidRPr="00A929CE" w:rsidRDefault="00AE5996" w:rsidP="00A929CE">
      <w:pPr>
        <w:pStyle w:val="Paragraphedeliste"/>
        <w:numPr>
          <w:ilvl w:val="0"/>
          <w:numId w:val="53"/>
        </w:numPr>
        <w:spacing w:after="160" w:line="360" w:lineRule="auto"/>
        <w:jc w:val="both"/>
        <w:rPr>
          <w:rFonts w:asciiTheme="minorHAnsi" w:hAnsiTheme="minorHAnsi"/>
          <w:sz w:val="24"/>
          <w:szCs w:val="24"/>
        </w:rPr>
      </w:pPr>
      <w:r w:rsidRPr="00A929CE">
        <w:rPr>
          <w:rFonts w:asciiTheme="minorHAnsi" w:hAnsiTheme="minorHAnsi"/>
          <w:sz w:val="24"/>
          <w:szCs w:val="24"/>
        </w:rPr>
        <w:t>Que pensez-vous des différents principes qui gouvernent la PNA et sa mise en œuvre ?</w:t>
      </w:r>
    </w:p>
    <w:p w:rsidR="00AE5996" w:rsidRPr="00A929CE" w:rsidRDefault="00AE5996" w:rsidP="00A929CE">
      <w:pPr>
        <w:pStyle w:val="Paragraphedeliste"/>
        <w:numPr>
          <w:ilvl w:val="0"/>
          <w:numId w:val="53"/>
        </w:numPr>
        <w:spacing w:after="160" w:line="360" w:lineRule="auto"/>
        <w:jc w:val="both"/>
        <w:rPr>
          <w:rFonts w:asciiTheme="minorHAnsi" w:hAnsiTheme="minorHAnsi"/>
          <w:sz w:val="24"/>
          <w:szCs w:val="24"/>
        </w:rPr>
      </w:pPr>
      <w:r w:rsidRPr="00A929CE">
        <w:rPr>
          <w:rFonts w:asciiTheme="minorHAnsi" w:hAnsiTheme="minorHAnsi"/>
          <w:sz w:val="24"/>
          <w:szCs w:val="24"/>
        </w:rPr>
        <w:t>Quel a été le processus de suivi – évaluation de la PNA et de ses stratégies associées ?</w:t>
      </w:r>
    </w:p>
    <w:p w:rsidR="00AE5996" w:rsidRPr="00A929CE" w:rsidRDefault="00AE5996" w:rsidP="00A929CE">
      <w:pPr>
        <w:spacing w:line="360" w:lineRule="auto"/>
        <w:jc w:val="both"/>
        <w:rPr>
          <w:rFonts w:asciiTheme="minorHAnsi" w:hAnsiTheme="minorHAnsi"/>
          <w:sz w:val="24"/>
          <w:szCs w:val="24"/>
        </w:rPr>
      </w:pPr>
    </w:p>
    <w:p w:rsidR="00AE5996" w:rsidRPr="00A929CE" w:rsidRDefault="00AE5996" w:rsidP="00A929CE">
      <w:pPr>
        <w:pStyle w:val="Paragraphedeliste"/>
        <w:numPr>
          <w:ilvl w:val="0"/>
          <w:numId w:val="53"/>
        </w:numPr>
        <w:spacing w:after="160" w:line="360" w:lineRule="auto"/>
        <w:jc w:val="both"/>
        <w:rPr>
          <w:rFonts w:asciiTheme="minorHAnsi" w:hAnsiTheme="minorHAnsi"/>
          <w:sz w:val="24"/>
          <w:szCs w:val="24"/>
        </w:rPr>
      </w:pPr>
      <w:r w:rsidRPr="00A929CE">
        <w:rPr>
          <w:rFonts w:asciiTheme="minorHAnsi" w:hAnsiTheme="minorHAnsi"/>
          <w:sz w:val="24"/>
          <w:szCs w:val="24"/>
        </w:rPr>
        <w:t>Que pensez- du cadre institutionnel dédié à l’assainissement au Mali ? Avez-vous des suggestions et propositions en la matière ? si oui, lesquelles ?</w:t>
      </w:r>
    </w:p>
    <w:p w:rsidR="00AE5996" w:rsidRPr="00A929CE" w:rsidRDefault="00AE5996" w:rsidP="00A929CE">
      <w:pPr>
        <w:spacing w:line="360" w:lineRule="auto"/>
        <w:jc w:val="both"/>
        <w:rPr>
          <w:rFonts w:asciiTheme="minorHAnsi" w:hAnsiTheme="minorHAnsi"/>
          <w:sz w:val="24"/>
          <w:szCs w:val="24"/>
        </w:rPr>
      </w:pPr>
    </w:p>
    <w:p w:rsidR="00AE5996" w:rsidRPr="00A929CE" w:rsidRDefault="00AE5996" w:rsidP="00A929CE">
      <w:pPr>
        <w:spacing w:line="360" w:lineRule="auto"/>
        <w:jc w:val="both"/>
        <w:rPr>
          <w:rFonts w:asciiTheme="minorHAnsi" w:hAnsiTheme="minorHAnsi"/>
          <w:sz w:val="24"/>
          <w:szCs w:val="24"/>
        </w:rPr>
      </w:pPr>
    </w:p>
    <w:p w:rsidR="00AE5996" w:rsidRPr="00A929CE" w:rsidRDefault="00AE5996" w:rsidP="00A929CE">
      <w:pPr>
        <w:spacing w:line="360" w:lineRule="auto"/>
        <w:jc w:val="both"/>
        <w:rPr>
          <w:rFonts w:asciiTheme="minorHAnsi" w:hAnsiTheme="minorHAnsi"/>
          <w:sz w:val="24"/>
          <w:szCs w:val="24"/>
        </w:rPr>
      </w:pPr>
    </w:p>
    <w:p w:rsidR="00E672D0" w:rsidRPr="00A929CE" w:rsidRDefault="00E672D0" w:rsidP="00A929CE">
      <w:pPr>
        <w:spacing w:line="360" w:lineRule="auto"/>
        <w:jc w:val="both"/>
        <w:rPr>
          <w:rFonts w:asciiTheme="minorHAnsi" w:hAnsiTheme="minorHAnsi" w:cstheme="minorHAnsi"/>
          <w:sz w:val="24"/>
          <w:szCs w:val="24"/>
        </w:rPr>
        <w:sectPr w:rsidR="00E672D0" w:rsidRPr="00A929CE">
          <w:pgSz w:w="11906" w:h="16838"/>
          <w:pgMar w:top="1417" w:right="1417" w:bottom="1417" w:left="1417" w:header="708" w:footer="708" w:gutter="0"/>
          <w:cols w:space="708"/>
          <w:docGrid w:linePitch="360"/>
        </w:sectPr>
      </w:pPr>
    </w:p>
    <w:p w:rsidR="00AE5996" w:rsidRPr="00A929CE" w:rsidRDefault="00E672D0" w:rsidP="00A929CE">
      <w:pPr>
        <w:pStyle w:val="Titre2"/>
        <w:spacing w:line="360" w:lineRule="auto"/>
        <w:rPr>
          <w:rFonts w:asciiTheme="minorHAnsi" w:hAnsiTheme="minorHAnsi"/>
          <w:szCs w:val="24"/>
        </w:rPr>
      </w:pPr>
      <w:bookmarkStart w:id="92" w:name="_Toc536448618"/>
      <w:r w:rsidRPr="00A929CE">
        <w:rPr>
          <w:rFonts w:asciiTheme="minorHAnsi" w:hAnsiTheme="minorHAnsi"/>
          <w:szCs w:val="24"/>
        </w:rPr>
        <w:t>Annexe 3 : TDR des groupes thématiques</w:t>
      </w:r>
      <w:bookmarkEnd w:id="92"/>
    </w:p>
    <w:p w:rsidR="00E672D0" w:rsidRPr="00B8772C" w:rsidRDefault="00E672D0" w:rsidP="00B8772C">
      <w:pPr>
        <w:spacing w:line="360" w:lineRule="auto"/>
        <w:jc w:val="both"/>
        <w:rPr>
          <w:rFonts w:asciiTheme="minorHAnsi" w:hAnsiTheme="minorHAnsi"/>
          <w:sz w:val="24"/>
          <w:szCs w:val="24"/>
        </w:rPr>
      </w:pPr>
    </w:p>
    <w:p w:rsidR="00E672D0" w:rsidRPr="001754BB" w:rsidRDefault="00E672D0" w:rsidP="00B8772C">
      <w:pPr>
        <w:spacing w:line="360" w:lineRule="auto"/>
        <w:jc w:val="both"/>
        <w:rPr>
          <w:rFonts w:asciiTheme="minorHAnsi" w:hAnsiTheme="minorHAnsi"/>
          <w:sz w:val="24"/>
          <w:szCs w:val="24"/>
        </w:rPr>
      </w:pPr>
      <w:r w:rsidRPr="001754BB">
        <w:rPr>
          <w:rFonts w:asciiTheme="minorHAnsi" w:hAnsiTheme="minorHAnsi"/>
          <w:sz w:val="24"/>
          <w:szCs w:val="24"/>
        </w:rPr>
        <w:t>Il est demandé à tous les GT ce qui suit :</w:t>
      </w:r>
    </w:p>
    <w:p w:rsidR="00E672D0" w:rsidRPr="00BC7FF5" w:rsidRDefault="00E672D0" w:rsidP="001754BB">
      <w:pPr>
        <w:pStyle w:val="Paragraphedeliste"/>
        <w:numPr>
          <w:ilvl w:val="0"/>
          <w:numId w:val="54"/>
        </w:numPr>
        <w:spacing w:after="200" w:line="360" w:lineRule="auto"/>
        <w:ind w:left="284" w:hanging="284"/>
        <w:jc w:val="both"/>
        <w:rPr>
          <w:rFonts w:asciiTheme="minorHAnsi" w:hAnsiTheme="minorHAnsi"/>
          <w:sz w:val="24"/>
          <w:szCs w:val="24"/>
        </w:rPr>
      </w:pPr>
      <w:r w:rsidRPr="00BC7FF5">
        <w:rPr>
          <w:rFonts w:asciiTheme="minorHAnsi" w:hAnsiTheme="minorHAnsi"/>
          <w:sz w:val="24"/>
          <w:szCs w:val="24"/>
        </w:rPr>
        <w:t>Sur base des critères CAD de l’évaluation que sont : la pertinence, l’efficacité, l’efficience, la durabilité, le partenariat, veuillez apprécier la mise en œuvre de la PNA en ce qui concerne :</w:t>
      </w:r>
    </w:p>
    <w:p w:rsidR="00E672D0" w:rsidRPr="00112EE9" w:rsidRDefault="00E672D0" w:rsidP="001754BB">
      <w:pPr>
        <w:pStyle w:val="Paragraphedeliste"/>
        <w:numPr>
          <w:ilvl w:val="0"/>
          <w:numId w:val="55"/>
        </w:numPr>
        <w:spacing w:after="200" w:line="360" w:lineRule="auto"/>
        <w:ind w:left="851" w:hanging="425"/>
        <w:jc w:val="both"/>
        <w:rPr>
          <w:rFonts w:asciiTheme="minorHAnsi" w:hAnsiTheme="minorHAnsi"/>
          <w:sz w:val="24"/>
          <w:szCs w:val="24"/>
        </w:rPr>
      </w:pPr>
      <w:r w:rsidRPr="00112EE9">
        <w:rPr>
          <w:rFonts w:asciiTheme="minorHAnsi" w:hAnsiTheme="minorHAnsi"/>
          <w:sz w:val="24"/>
          <w:szCs w:val="24"/>
        </w:rPr>
        <w:t>La gestion des déchets solides (GT1)</w:t>
      </w:r>
    </w:p>
    <w:p w:rsidR="00E672D0" w:rsidRPr="00D863B8" w:rsidRDefault="00E672D0" w:rsidP="00BC7FF5">
      <w:pPr>
        <w:pStyle w:val="Paragraphedeliste"/>
        <w:numPr>
          <w:ilvl w:val="0"/>
          <w:numId w:val="55"/>
        </w:numPr>
        <w:spacing w:after="200" w:line="360" w:lineRule="auto"/>
        <w:ind w:left="851" w:hanging="425"/>
        <w:jc w:val="both"/>
        <w:rPr>
          <w:rFonts w:asciiTheme="minorHAnsi" w:hAnsiTheme="minorHAnsi"/>
          <w:sz w:val="24"/>
          <w:szCs w:val="24"/>
        </w:rPr>
      </w:pPr>
      <w:r w:rsidRPr="00112EE9">
        <w:rPr>
          <w:rFonts w:asciiTheme="minorHAnsi" w:hAnsiTheme="minorHAnsi"/>
          <w:sz w:val="24"/>
          <w:szCs w:val="24"/>
        </w:rPr>
        <w:t>La gestion des eaux usé</w:t>
      </w:r>
      <w:r w:rsidRPr="00D863B8">
        <w:rPr>
          <w:rFonts w:asciiTheme="minorHAnsi" w:hAnsiTheme="minorHAnsi"/>
          <w:sz w:val="24"/>
          <w:szCs w:val="24"/>
        </w:rPr>
        <w:t>es et excréta (GT2)</w:t>
      </w:r>
    </w:p>
    <w:p w:rsidR="00E672D0" w:rsidRPr="00A929CE" w:rsidRDefault="00E672D0" w:rsidP="00112EE9">
      <w:pPr>
        <w:pStyle w:val="Paragraphedeliste"/>
        <w:numPr>
          <w:ilvl w:val="0"/>
          <w:numId w:val="55"/>
        </w:numPr>
        <w:spacing w:after="200" w:line="360" w:lineRule="auto"/>
        <w:ind w:left="851" w:hanging="425"/>
        <w:jc w:val="both"/>
        <w:rPr>
          <w:rFonts w:asciiTheme="minorHAnsi" w:hAnsiTheme="minorHAnsi"/>
          <w:sz w:val="24"/>
          <w:szCs w:val="24"/>
        </w:rPr>
      </w:pPr>
      <w:r w:rsidRPr="00A929CE">
        <w:rPr>
          <w:rFonts w:asciiTheme="minorHAnsi" w:hAnsiTheme="minorHAnsi"/>
          <w:sz w:val="24"/>
          <w:szCs w:val="24"/>
        </w:rPr>
        <w:t>La gestion des eaux pluviales (GT3)</w:t>
      </w:r>
    </w:p>
    <w:p w:rsidR="00E672D0" w:rsidRPr="00A929CE" w:rsidRDefault="00E672D0" w:rsidP="00112EE9">
      <w:pPr>
        <w:pStyle w:val="Paragraphedeliste"/>
        <w:numPr>
          <w:ilvl w:val="0"/>
          <w:numId w:val="55"/>
        </w:numPr>
        <w:spacing w:after="200" w:line="360" w:lineRule="auto"/>
        <w:ind w:left="851" w:hanging="425"/>
        <w:jc w:val="both"/>
        <w:rPr>
          <w:rFonts w:asciiTheme="minorHAnsi" w:hAnsiTheme="minorHAnsi"/>
          <w:sz w:val="24"/>
          <w:szCs w:val="24"/>
        </w:rPr>
      </w:pPr>
      <w:r w:rsidRPr="00A929CE">
        <w:rPr>
          <w:rFonts w:asciiTheme="minorHAnsi" w:hAnsiTheme="minorHAnsi"/>
          <w:sz w:val="24"/>
          <w:szCs w:val="24"/>
        </w:rPr>
        <w:t>La gestion des déchets spéciaux (GT4)</w:t>
      </w:r>
    </w:p>
    <w:p w:rsidR="00E672D0" w:rsidRPr="00A929CE" w:rsidRDefault="00E672D0" w:rsidP="00A929CE">
      <w:pPr>
        <w:pStyle w:val="Paragraphedeliste"/>
        <w:numPr>
          <w:ilvl w:val="0"/>
          <w:numId w:val="55"/>
        </w:numPr>
        <w:spacing w:after="200" w:line="360" w:lineRule="auto"/>
        <w:ind w:left="851" w:hanging="425"/>
        <w:jc w:val="both"/>
        <w:rPr>
          <w:rFonts w:asciiTheme="minorHAnsi" w:hAnsiTheme="minorHAnsi"/>
          <w:sz w:val="24"/>
          <w:szCs w:val="24"/>
        </w:rPr>
      </w:pPr>
      <w:r w:rsidRPr="00A929CE">
        <w:rPr>
          <w:rFonts w:asciiTheme="minorHAnsi" w:hAnsiTheme="minorHAnsi"/>
          <w:sz w:val="24"/>
          <w:szCs w:val="24"/>
        </w:rPr>
        <w:t>Le transfert de compétences/ Gouvernance (GT5)</w:t>
      </w:r>
    </w:p>
    <w:p w:rsidR="00E672D0" w:rsidRPr="00A929CE" w:rsidRDefault="00E672D0" w:rsidP="00A929CE">
      <w:pPr>
        <w:pStyle w:val="Paragraphedeliste"/>
        <w:numPr>
          <w:ilvl w:val="0"/>
          <w:numId w:val="54"/>
        </w:numPr>
        <w:spacing w:after="200" w:line="360" w:lineRule="auto"/>
        <w:ind w:left="284" w:hanging="284"/>
        <w:jc w:val="both"/>
        <w:rPr>
          <w:rFonts w:asciiTheme="minorHAnsi" w:hAnsiTheme="minorHAnsi"/>
          <w:sz w:val="24"/>
          <w:szCs w:val="24"/>
        </w:rPr>
      </w:pPr>
      <w:r w:rsidRPr="00A929CE">
        <w:rPr>
          <w:rFonts w:asciiTheme="minorHAnsi" w:hAnsiTheme="minorHAnsi"/>
          <w:b/>
          <w:sz w:val="24"/>
          <w:szCs w:val="24"/>
        </w:rPr>
        <w:t xml:space="preserve">A </w:t>
      </w:r>
      <w:r w:rsidRPr="00A929CE">
        <w:rPr>
          <w:rFonts w:asciiTheme="minorHAnsi" w:hAnsiTheme="minorHAnsi"/>
          <w:sz w:val="24"/>
          <w:szCs w:val="24"/>
        </w:rPr>
        <w:t>l’aide de la matrice SEPO complétez votre appréciation sur la PNA en ce qui concerne « le volet d’assainissement objet de votre GT »</w:t>
      </w:r>
    </w:p>
    <w:p w:rsidR="00E672D0" w:rsidRPr="00A929CE" w:rsidRDefault="00E672D0" w:rsidP="00A929CE">
      <w:pPr>
        <w:pStyle w:val="Paragraphedeliste"/>
        <w:numPr>
          <w:ilvl w:val="0"/>
          <w:numId w:val="54"/>
        </w:numPr>
        <w:spacing w:after="200" w:line="360" w:lineRule="auto"/>
        <w:ind w:left="284" w:hanging="284"/>
        <w:jc w:val="both"/>
        <w:rPr>
          <w:rFonts w:asciiTheme="minorHAnsi" w:hAnsiTheme="minorHAnsi"/>
          <w:sz w:val="24"/>
          <w:szCs w:val="24"/>
        </w:rPr>
      </w:pPr>
      <w:r w:rsidRPr="00A929CE">
        <w:rPr>
          <w:rFonts w:asciiTheme="minorHAnsi" w:hAnsiTheme="minorHAnsi"/>
          <w:sz w:val="24"/>
          <w:szCs w:val="24"/>
        </w:rPr>
        <w:t>Dans le cadre de la révision de la PNA et en son volet qui vous concerne quelles sont les améliorations que l’on puisse introduire ?</w:t>
      </w:r>
    </w:p>
    <w:p w:rsidR="00E672D0" w:rsidRPr="00A929CE" w:rsidRDefault="00E672D0" w:rsidP="00A929CE">
      <w:pPr>
        <w:tabs>
          <w:tab w:val="left" w:pos="2256"/>
          <w:tab w:val="center" w:pos="4536"/>
        </w:tabs>
        <w:spacing w:line="360" w:lineRule="auto"/>
        <w:jc w:val="both"/>
        <w:rPr>
          <w:rFonts w:asciiTheme="minorHAnsi" w:hAnsiTheme="minorHAnsi"/>
          <w:b/>
          <w:bCs/>
          <w:sz w:val="24"/>
          <w:szCs w:val="24"/>
        </w:rPr>
      </w:pPr>
    </w:p>
    <w:p w:rsidR="00E672D0" w:rsidRPr="00A929CE" w:rsidRDefault="00E672D0" w:rsidP="00A929CE">
      <w:pPr>
        <w:tabs>
          <w:tab w:val="left" w:pos="2256"/>
          <w:tab w:val="center" w:pos="4536"/>
        </w:tabs>
        <w:spacing w:line="360" w:lineRule="auto"/>
        <w:jc w:val="both"/>
        <w:rPr>
          <w:rFonts w:asciiTheme="minorHAnsi" w:hAnsiTheme="minorHAnsi"/>
          <w:b/>
          <w:bCs/>
          <w:sz w:val="24"/>
          <w:szCs w:val="24"/>
        </w:rPr>
      </w:pPr>
      <w:r w:rsidRPr="00A929CE">
        <w:rPr>
          <w:rFonts w:asciiTheme="minorHAnsi" w:hAnsiTheme="minorHAnsi"/>
          <w:b/>
          <w:bCs/>
          <w:sz w:val="24"/>
          <w:szCs w:val="24"/>
        </w:rPr>
        <w:t>Matrice SEPO de la mise en œuvre du PNA</w:t>
      </w:r>
    </w:p>
    <w:p w:rsidR="00E672D0" w:rsidRPr="00A929CE" w:rsidRDefault="00E672D0" w:rsidP="00A929CE">
      <w:pPr>
        <w:tabs>
          <w:tab w:val="left" w:pos="2256"/>
          <w:tab w:val="center" w:pos="4536"/>
        </w:tabs>
        <w:spacing w:line="360" w:lineRule="auto"/>
        <w:jc w:val="both"/>
        <w:rPr>
          <w:rFonts w:asciiTheme="minorHAnsi" w:hAnsiTheme="minorHAnsi"/>
          <w:b/>
          <w:bCs/>
          <w:sz w:val="24"/>
          <w:szCs w:val="24"/>
        </w:rPr>
      </w:pPr>
    </w:p>
    <w:tbl>
      <w:tblPr>
        <w:tblStyle w:val="Grilledutableau"/>
        <w:tblW w:w="0" w:type="auto"/>
        <w:tblLook w:val="04A0" w:firstRow="1" w:lastRow="0" w:firstColumn="1" w:lastColumn="0" w:noHBand="0" w:noVBand="1"/>
      </w:tblPr>
      <w:tblGrid>
        <w:gridCol w:w="4606"/>
        <w:gridCol w:w="4606"/>
      </w:tblGrid>
      <w:tr w:rsidR="00E672D0" w:rsidRPr="00A929CE" w:rsidTr="00E672D0">
        <w:trPr>
          <w:trHeight w:val="1953"/>
        </w:trPr>
        <w:tc>
          <w:tcPr>
            <w:tcW w:w="4606" w:type="dxa"/>
          </w:tcPr>
          <w:p w:rsidR="00E672D0" w:rsidRPr="00A929CE" w:rsidRDefault="00E672D0" w:rsidP="00A929CE">
            <w:pPr>
              <w:spacing w:line="360" w:lineRule="auto"/>
              <w:jc w:val="both"/>
              <w:rPr>
                <w:rFonts w:asciiTheme="minorHAnsi" w:hAnsiTheme="minorHAnsi"/>
                <w:b/>
                <w:bCs/>
                <w:sz w:val="24"/>
                <w:szCs w:val="24"/>
              </w:rPr>
            </w:pPr>
            <w:r w:rsidRPr="00A929CE">
              <w:rPr>
                <w:rFonts w:asciiTheme="minorHAnsi" w:hAnsiTheme="minorHAnsi"/>
                <w:b/>
                <w:bCs/>
                <w:sz w:val="24"/>
                <w:szCs w:val="24"/>
              </w:rPr>
              <w:t>Succès</w:t>
            </w:r>
          </w:p>
        </w:tc>
        <w:tc>
          <w:tcPr>
            <w:tcW w:w="4606" w:type="dxa"/>
          </w:tcPr>
          <w:p w:rsidR="00E672D0" w:rsidRPr="00A929CE" w:rsidRDefault="00E672D0" w:rsidP="00A929CE">
            <w:pPr>
              <w:spacing w:line="360" w:lineRule="auto"/>
              <w:jc w:val="both"/>
              <w:rPr>
                <w:rFonts w:asciiTheme="minorHAnsi" w:hAnsiTheme="minorHAnsi"/>
                <w:b/>
                <w:bCs/>
                <w:sz w:val="24"/>
                <w:szCs w:val="24"/>
              </w:rPr>
            </w:pPr>
            <w:r w:rsidRPr="00A929CE">
              <w:rPr>
                <w:rFonts w:asciiTheme="minorHAnsi" w:hAnsiTheme="minorHAnsi"/>
                <w:b/>
                <w:bCs/>
                <w:sz w:val="24"/>
                <w:szCs w:val="24"/>
              </w:rPr>
              <w:t>Echecs</w:t>
            </w:r>
          </w:p>
          <w:p w:rsidR="00E672D0" w:rsidRPr="00A929CE" w:rsidRDefault="00E672D0" w:rsidP="00A929CE">
            <w:pPr>
              <w:spacing w:line="360" w:lineRule="auto"/>
              <w:jc w:val="both"/>
              <w:rPr>
                <w:rFonts w:asciiTheme="minorHAnsi" w:hAnsiTheme="minorHAnsi"/>
                <w:b/>
                <w:bCs/>
                <w:sz w:val="24"/>
                <w:szCs w:val="24"/>
              </w:rPr>
            </w:pPr>
          </w:p>
          <w:p w:rsidR="00E672D0" w:rsidRPr="00A929CE" w:rsidRDefault="00E672D0" w:rsidP="00A929CE">
            <w:pPr>
              <w:spacing w:line="360" w:lineRule="auto"/>
              <w:jc w:val="both"/>
              <w:rPr>
                <w:rFonts w:asciiTheme="minorHAnsi" w:hAnsiTheme="minorHAnsi"/>
                <w:b/>
                <w:bCs/>
                <w:sz w:val="24"/>
                <w:szCs w:val="24"/>
              </w:rPr>
            </w:pPr>
          </w:p>
          <w:p w:rsidR="00E672D0" w:rsidRPr="00A929CE" w:rsidRDefault="00E672D0" w:rsidP="00A929CE">
            <w:pPr>
              <w:spacing w:line="360" w:lineRule="auto"/>
              <w:jc w:val="both"/>
              <w:rPr>
                <w:rFonts w:asciiTheme="minorHAnsi" w:hAnsiTheme="minorHAnsi"/>
                <w:b/>
                <w:bCs/>
                <w:sz w:val="24"/>
                <w:szCs w:val="24"/>
              </w:rPr>
            </w:pPr>
          </w:p>
          <w:p w:rsidR="00E672D0" w:rsidRPr="00A929CE" w:rsidRDefault="00E672D0" w:rsidP="00A929CE">
            <w:pPr>
              <w:spacing w:line="360" w:lineRule="auto"/>
              <w:jc w:val="both"/>
              <w:rPr>
                <w:rFonts w:asciiTheme="minorHAnsi" w:hAnsiTheme="minorHAnsi"/>
                <w:b/>
                <w:bCs/>
                <w:sz w:val="24"/>
                <w:szCs w:val="24"/>
              </w:rPr>
            </w:pPr>
          </w:p>
        </w:tc>
      </w:tr>
      <w:tr w:rsidR="00E672D0" w:rsidRPr="00A929CE" w:rsidTr="00A32148">
        <w:trPr>
          <w:trHeight w:val="58"/>
        </w:trPr>
        <w:tc>
          <w:tcPr>
            <w:tcW w:w="4606" w:type="dxa"/>
          </w:tcPr>
          <w:p w:rsidR="00E672D0" w:rsidRPr="001754BB" w:rsidRDefault="00E672D0" w:rsidP="00B8772C">
            <w:pPr>
              <w:spacing w:line="360" w:lineRule="auto"/>
              <w:jc w:val="both"/>
              <w:rPr>
                <w:rFonts w:asciiTheme="minorHAnsi" w:hAnsiTheme="minorHAnsi"/>
                <w:b/>
                <w:bCs/>
                <w:sz w:val="24"/>
                <w:szCs w:val="24"/>
              </w:rPr>
            </w:pPr>
            <w:r w:rsidRPr="00B8772C">
              <w:rPr>
                <w:rFonts w:asciiTheme="minorHAnsi" w:hAnsiTheme="minorHAnsi"/>
                <w:b/>
                <w:bCs/>
                <w:sz w:val="24"/>
                <w:szCs w:val="24"/>
              </w:rPr>
              <w:t>Potentialités</w:t>
            </w:r>
          </w:p>
        </w:tc>
        <w:tc>
          <w:tcPr>
            <w:tcW w:w="4606" w:type="dxa"/>
          </w:tcPr>
          <w:p w:rsidR="00E672D0" w:rsidRPr="001754BB" w:rsidRDefault="00E672D0" w:rsidP="00B8772C">
            <w:pPr>
              <w:spacing w:line="360" w:lineRule="auto"/>
              <w:jc w:val="both"/>
              <w:rPr>
                <w:rFonts w:asciiTheme="minorHAnsi" w:hAnsiTheme="minorHAnsi"/>
                <w:b/>
                <w:bCs/>
                <w:sz w:val="24"/>
                <w:szCs w:val="24"/>
              </w:rPr>
            </w:pPr>
            <w:r w:rsidRPr="001754BB">
              <w:rPr>
                <w:rFonts w:asciiTheme="minorHAnsi" w:hAnsiTheme="minorHAnsi"/>
                <w:b/>
                <w:bCs/>
                <w:sz w:val="24"/>
                <w:szCs w:val="24"/>
              </w:rPr>
              <w:t>Obstacles</w:t>
            </w:r>
          </w:p>
          <w:p w:rsidR="00E672D0" w:rsidRPr="00BC7FF5" w:rsidRDefault="00E672D0" w:rsidP="001754BB">
            <w:pPr>
              <w:spacing w:line="360" w:lineRule="auto"/>
              <w:jc w:val="both"/>
              <w:rPr>
                <w:rFonts w:asciiTheme="minorHAnsi" w:hAnsiTheme="minorHAnsi"/>
                <w:b/>
                <w:bCs/>
                <w:sz w:val="24"/>
                <w:szCs w:val="24"/>
              </w:rPr>
            </w:pPr>
          </w:p>
          <w:p w:rsidR="00E672D0" w:rsidRPr="00112EE9" w:rsidRDefault="00E672D0" w:rsidP="001754BB">
            <w:pPr>
              <w:spacing w:line="360" w:lineRule="auto"/>
              <w:jc w:val="both"/>
              <w:rPr>
                <w:rFonts w:asciiTheme="minorHAnsi" w:hAnsiTheme="minorHAnsi"/>
                <w:b/>
                <w:bCs/>
                <w:sz w:val="24"/>
                <w:szCs w:val="24"/>
              </w:rPr>
            </w:pPr>
          </w:p>
          <w:p w:rsidR="00E672D0" w:rsidRPr="00112EE9" w:rsidRDefault="00E672D0" w:rsidP="00BC7FF5">
            <w:pPr>
              <w:spacing w:line="360" w:lineRule="auto"/>
              <w:jc w:val="both"/>
              <w:rPr>
                <w:rFonts w:asciiTheme="minorHAnsi" w:hAnsiTheme="minorHAnsi"/>
                <w:b/>
                <w:bCs/>
                <w:sz w:val="24"/>
                <w:szCs w:val="24"/>
              </w:rPr>
            </w:pPr>
          </w:p>
        </w:tc>
      </w:tr>
    </w:tbl>
    <w:p w:rsidR="00E672D0" w:rsidRPr="00B8772C" w:rsidRDefault="00E672D0" w:rsidP="00B8772C">
      <w:pPr>
        <w:spacing w:line="360" w:lineRule="auto"/>
        <w:jc w:val="both"/>
        <w:rPr>
          <w:rFonts w:asciiTheme="minorHAnsi" w:hAnsiTheme="minorHAnsi"/>
          <w:b/>
          <w:bCs/>
          <w:sz w:val="24"/>
          <w:szCs w:val="24"/>
        </w:rPr>
      </w:pPr>
    </w:p>
    <w:p w:rsidR="00030914" w:rsidRPr="00B8772C" w:rsidRDefault="00030914" w:rsidP="00A929CE">
      <w:pPr>
        <w:spacing w:after="160" w:line="360" w:lineRule="auto"/>
        <w:rPr>
          <w:rFonts w:asciiTheme="minorHAnsi" w:eastAsia="Times New Roman" w:hAnsiTheme="minorHAnsi" w:cstheme="minorHAnsi"/>
          <w:b/>
          <w:bCs/>
          <w:sz w:val="24"/>
          <w:szCs w:val="24"/>
        </w:rPr>
      </w:pPr>
      <w:r w:rsidRPr="00A929CE">
        <w:rPr>
          <w:rFonts w:asciiTheme="minorHAnsi" w:hAnsiTheme="minorHAnsi"/>
          <w:sz w:val="24"/>
          <w:szCs w:val="24"/>
        </w:rPr>
        <w:br w:type="page"/>
      </w:r>
    </w:p>
    <w:p w:rsidR="00E672D0" w:rsidRPr="00B8772C" w:rsidRDefault="00A32148" w:rsidP="00A929CE">
      <w:pPr>
        <w:pStyle w:val="Titre2"/>
        <w:spacing w:line="360" w:lineRule="auto"/>
        <w:rPr>
          <w:rFonts w:asciiTheme="minorHAnsi" w:hAnsiTheme="minorHAnsi"/>
          <w:szCs w:val="24"/>
        </w:rPr>
      </w:pPr>
      <w:bookmarkStart w:id="93" w:name="_Toc536448619"/>
      <w:r w:rsidRPr="00B8772C">
        <w:rPr>
          <w:rFonts w:asciiTheme="minorHAnsi" w:hAnsiTheme="minorHAnsi"/>
          <w:szCs w:val="24"/>
        </w:rPr>
        <w:t xml:space="preserve">Annexe 4 : </w:t>
      </w:r>
      <w:r w:rsidRPr="00A929CE">
        <w:rPr>
          <w:rFonts w:asciiTheme="minorHAnsi" w:hAnsiTheme="minorHAnsi"/>
          <w:szCs w:val="24"/>
        </w:rPr>
        <w:t>Liste des Documents Consultés</w:t>
      </w:r>
      <w:bookmarkEnd w:id="93"/>
    </w:p>
    <w:p w:rsidR="00A32148" w:rsidRPr="00A929CE" w:rsidRDefault="00A32148" w:rsidP="00A929CE">
      <w:pPr>
        <w:spacing w:line="360" w:lineRule="auto"/>
        <w:jc w:val="center"/>
        <w:rPr>
          <w:rFonts w:asciiTheme="minorHAnsi" w:hAnsiTheme="minorHAnsi"/>
          <w:b/>
          <w:sz w:val="24"/>
          <w:szCs w:val="24"/>
        </w:rPr>
      </w:pPr>
    </w:p>
    <w:tbl>
      <w:tblPr>
        <w:tblStyle w:val="Grilledutableau"/>
        <w:tblW w:w="0" w:type="auto"/>
        <w:tblLook w:val="04A0" w:firstRow="1" w:lastRow="0" w:firstColumn="1" w:lastColumn="0" w:noHBand="0" w:noVBand="1"/>
      </w:tblPr>
      <w:tblGrid>
        <w:gridCol w:w="1088"/>
        <w:gridCol w:w="7974"/>
      </w:tblGrid>
      <w:tr w:rsidR="00A32148" w:rsidRPr="00A929CE" w:rsidTr="00DE703E">
        <w:tc>
          <w:tcPr>
            <w:tcW w:w="1088" w:type="dxa"/>
          </w:tcPr>
          <w:p w:rsidR="00A32148" w:rsidRPr="00A929CE" w:rsidRDefault="00A32148" w:rsidP="00A929CE">
            <w:pPr>
              <w:spacing w:line="360" w:lineRule="auto"/>
              <w:jc w:val="center"/>
              <w:rPr>
                <w:rFonts w:asciiTheme="minorHAnsi" w:hAnsiTheme="minorHAnsi"/>
                <w:b/>
                <w:sz w:val="24"/>
                <w:szCs w:val="24"/>
              </w:rPr>
            </w:pPr>
            <w:r w:rsidRPr="00A929CE">
              <w:rPr>
                <w:rFonts w:asciiTheme="minorHAnsi" w:hAnsiTheme="minorHAnsi"/>
                <w:b/>
                <w:sz w:val="24"/>
                <w:szCs w:val="24"/>
              </w:rPr>
              <w:t>N°</w:t>
            </w:r>
          </w:p>
        </w:tc>
        <w:tc>
          <w:tcPr>
            <w:tcW w:w="7974" w:type="dxa"/>
          </w:tcPr>
          <w:p w:rsidR="00A32148" w:rsidRPr="00A929CE" w:rsidRDefault="00A32148" w:rsidP="00A929CE">
            <w:pPr>
              <w:spacing w:line="360" w:lineRule="auto"/>
              <w:jc w:val="center"/>
              <w:rPr>
                <w:rFonts w:asciiTheme="minorHAnsi" w:hAnsiTheme="minorHAnsi"/>
                <w:b/>
                <w:sz w:val="24"/>
                <w:szCs w:val="24"/>
              </w:rPr>
            </w:pPr>
            <w:r w:rsidRPr="00A929CE">
              <w:rPr>
                <w:rFonts w:asciiTheme="minorHAnsi" w:hAnsiTheme="minorHAnsi"/>
                <w:b/>
                <w:sz w:val="24"/>
                <w:szCs w:val="24"/>
              </w:rPr>
              <w:t>Intitulé du document</w:t>
            </w:r>
          </w:p>
        </w:tc>
      </w:tr>
      <w:tr w:rsidR="00A32148" w:rsidRPr="00A929CE" w:rsidTr="00DE703E">
        <w:tc>
          <w:tcPr>
            <w:tcW w:w="1088" w:type="dxa"/>
          </w:tcPr>
          <w:p w:rsidR="00A32148" w:rsidRPr="00A929CE" w:rsidRDefault="00A32148" w:rsidP="00A929CE">
            <w:pPr>
              <w:spacing w:line="360" w:lineRule="auto"/>
              <w:jc w:val="center"/>
              <w:rPr>
                <w:rFonts w:asciiTheme="minorHAnsi" w:hAnsiTheme="minorHAnsi"/>
                <w:sz w:val="24"/>
                <w:szCs w:val="24"/>
              </w:rPr>
            </w:pPr>
            <w:r w:rsidRPr="00A929CE">
              <w:rPr>
                <w:rFonts w:asciiTheme="minorHAnsi" w:hAnsiTheme="minorHAnsi"/>
                <w:sz w:val="24"/>
                <w:szCs w:val="24"/>
              </w:rPr>
              <w:t>01.</w:t>
            </w:r>
          </w:p>
        </w:tc>
        <w:tc>
          <w:tcPr>
            <w:tcW w:w="7974" w:type="dxa"/>
          </w:tcPr>
          <w:p w:rsidR="00A32148" w:rsidRPr="00A929CE" w:rsidRDefault="00A32148" w:rsidP="00A929CE">
            <w:pPr>
              <w:spacing w:line="360" w:lineRule="auto"/>
              <w:rPr>
                <w:rFonts w:asciiTheme="minorHAnsi" w:hAnsiTheme="minorHAnsi"/>
                <w:sz w:val="24"/>
                <w:szCs w:val="24"/>
              </w:rPr>
            </w:pPr>
            <w:r w:rsidRPr="00A929CE">
              <w:rPr>
                <w:rFonts w:asciiTheme="minorHAnsi" w:hAnsiTheme="minorHAnsi"/>
                <w:sz w:val="24"/>
                <w:szCs w:val="24"/>
              </w:rPr>
              <w:t>Rapport bilan DNACPN  (2010-2011-2012-2013-2014-2015, 2015-2016)</w:t>
            </w:r>
          </w:p>
        </w:tc>
      </w:tr>
      <w:tr w:rsidR="00A32148" w:rsidRPr="00A929CE" w:rsidTr="00DE703E">
        <w:tc>
          <w:tcPr>
            <w:tcW w:w="1088" w:type="dxa"/>
          </w:tcPr>
          <w:p w:rsidR="00A32148" w:rsidRPr="00A929CE" w:rsidRDefault="00A32148" w:rsidP="00A929CE">
            <w:pPr>
              <w:spacing w:line="360" w:lineRule="auto"/>
              <w:jc w:val="center"/>
              <w:rPr>
                <w:rFonts w:asciiTheme="minorHAnsi" w:hAnsiTheme="minorHAnsi"/>
                <w:sz w:val="24"/>
                <w:szCs w:val="24"/>
              </w:rPr>
            </w:pPr>
            <w:r w:rsidRPr="00A929CE">
              <w:rPr>
                <w:rFonts w:asciiTheme="minorHAnsi" w:hAnsiTheme="minorHAnsi"/>
                <w:sz w:val="24"/>
                <w:szCs w:val="24"/>
              </w:rPr>
              <w:t>02.</w:t>
            </w:r>
          </w:p>
        </w:tc>
        <w:tc>
          <w:tcPr>
            <w:tcW w:w="7974" w:type="dxa"/>
          </w:tcPr>
          <w:p w:rsidR="00A32148" w:rsidRPr="00A929CE" w:rsidRDefault="00A32148" w:rsidP="00A929CE">
            <w:pPr>
              <w:spacing w:line="360" w:lineRule="auto"/>
              <w:rPr>
                <w:rFonts w:asciiTheme="minorHAnsi" w:hAnsiTheme="minorHAnsi"/>
                <w:sz w:val="24"/>
                <w:szCs w:val="24"/>
              </w:rPr>
            </w:pPr>
            <w:r w:rsidRPr="00A929CE">
              <w:rPr>
                <w:rFonts w:asciiTheme="minorHAnsi" w:hAnsiTheme="minorHAnsi"/>
                <w:sz w:val="24"/>
                <w:szCs w:val="24"/>
              </w:rPr>
              <w:t>Concertation 2016 Bilan-perspectives Concertation 2016</w:t>
            </w:r>
          </w:p>
        </w:tc>
      </w:tr>
      <w:tr w:rsidR="00A32148" w:rsidRPr="00A929CE" w:rsidTr="00DE703E">
        <w:tc>
          <w:tcPr>
            <w:tcW w:w="1088" w:type="dxa"/>
          </w:tcPr>
          <w:p w:rsidR="00A32148" w:rsidRPr="00A929CE" w:rsidRDefault="00A32148" w:rsidP="00A929CE">
            <w:pPr>
              <w:spacing w:line="360" w:lineRule="auto"/>
              <w:jc w:val="center"/>
              <w:rPr>
                <w:rFonts w:asciiTheme="minorHAnsi" w:hAnsiTheme="minorHAnsi"/>
                <w:sz w:val="24"/>
                <w:szCs w:val="24"/>
              </w:rPr>
            </w:pPr>
            <w:r w:rsidRPr="00A929CE">
              <w:rPr>
                <w:rFonts w:asciiTheme="minorHAnsi" w:hAnsiTheme="minorHAnsi"/>
                <w:sz w:val="24"/>
                <w:szCs w:val="24"/>
              </w:rPr>
              <w:t>03.</w:t>
            </w:r>
          </w:p>
        </w:tc>
        <w:tc>
          <w:tcPr>
            <w:tcW w:w="7974" w:type="dxa"/>
          </w:tcPr>
          <w:p w:rsidR="00A32148" w:rsidRPr="00A929CE" w:rsidRDefault="00A32148" w:rsidP="00A929CE">
            <w:pPr>
              <w:spacing w:line="360" w:lineRule="auto"/>
              <w:rPr>
                <w:rFonts w:asciiTheme="minorHAnsi" w:hAnsiTheme="minorHAnsi"/>
                <w:sz w:val="24"/>
                <w:szCs w:val="24"/>
              </w:rPr>
            </w:pPr>
            <w:r w:rsidRPr="00A929CE">
              <w:rPr>
                <w:rFonts w:asciiTheme="minorHAnsi" w:hAnsiTheme="minorHAnsi"/>
                <w:sz w:val="24"/>
                <w:szCs w:val="24"/>
              </w:rPr>
              <w:t>Politique Nationale d’Assainissement, Bamako 2009</w:t>
            </w:r>
          </w:p>
        </w:tc>
      </w:tr>
      <w:tr w:rsidR="00A32148" w:rsidRPr="00A929CE" w:rsidTr="00DE703E">
        <w:tc>
          <w:tcPr>
            <w:tcW w:w="1088" w:type="dxa"/>
          </w:tcPr>
          <w:p w:rsidR="00A32148" w:rsidRPr="00A929CE" w:rsidRDefault="00A32148" w:rsidP="00A929CE">
            <w:pPr>
              <w:spacing w:line="360" w:lineRule="auto"/>
              <w:jc w:val="center"/>
              <w:rPr>
                <w:rFonts w:asciiTheme="minorHAnsi" w:hAnsiTheme="minorHAnsi"/>
                <w:sz w:val="24"/>
                <w:szCs w:val="24"/>
              </w:rPr>
            </w:pPr>
            <w:r w:rsidRPr="00A929CE">
              <w:rPr>
                <w:rFonts w:asciiTheme="minorHAnsi" w:hAnsiTheme="minorHAnsi"/>
                <w:sz w:val="24"/>
                <w:szCs w:val="24"/>
              </w:rPr>
              <w:t>04.</w:t>
            </w:r>
          </w:p>
        </w:tc>
        <w:tc>
          <w:tcPr>
            <w:tcW w:w="7974" w:type="dxa"/>
          </w:tcPr>
          <w:p w:rsidR="00A32148" w:rsidRPr="00A929CE" w:rsidRDefault="00A32148" w:rsidP="00A929CE">
            <w:pPr>
              <w:spacing w:line="360" w:lineRule="auto"/>
              <w:rPr>
                <w:rFonts w:asciiTheme="minorHAnsi" w:hAnsiTheme="minorHAnsi"/>
                <w:sz w:val="24"/>
                <w:szCs w:val="24"/>
              </w:rPr>
            </w:pPr>
            <w:r w:rsidRPr="00A929CE">
              <w:rPr>
                <w:rFonts w:asciiTheme="minorHAnsi" w:hAnsiTheme="minorHAnsi"/>
                <w:sz w:val="24"/>
                <w:szCs w:val="24"/>
              </w:rPr>
              <w:t>Stratégie nationale de gestion des déchets solides</w:t>
            </w:r>
          </w:p>
        </w:tc>
      </w:tr>
      <w:tr w:rsidR="00A32148" w:rsidRPr="00A929CE" w:rsidTr="00DE703E">
        <w:tc>
          <w:tcPr>
            <w:tcW w:w="1088" w:type="dxa"/>
          </w:tcPr>
          <w:p w:rsidR="00A32148" w:rsidRPr="00A929CE" w:rsidRDefault="00A32148" w:rsidP="00A929CE">
            <w:pPr>
              <w:spacing w:line="360" w:lineRule="auto"/>
              <w:jc w:val="center"/>
              <w:rPr>
                <w:rFonts w:asciiTheme="minorHAnsi" w:hAnsiTheme="minorHAnsi"/>
                <w:sz w:val="24"/>
                <w:szCs w:val="24"/>
              </w:rPr>
            </w:pPr>
            <w:r w:rsidRPr="00A929CE">
              <w:rPr>
                <w:rFonts w:asciiTheme="minorHAnsi" w:hAnsiTheme="minorHAnsi"/>
                <w:sz w:val="24"/>
                <w:szCs w:val="24"/>
              </w:rPr>
              <w:t>05</w:t>
            </w:r>
          </w:p>
        </w:tc>
        <w:tc>
          <w:tcPr>
            <w:tcW w:w="7974" w:type="dxa"/>
          </w:tcPr>
          <w:p w:rsidR="00A32148" w:rsidRPr="00A929CE" w:rsidRDefault="00A32148" w:rsidP="00A929CE">
            <w:pPr>
              <w:spacing w:line="360" w:lineRule="auto"/>
              <w:rPr>
                <w:rFonts w:asciiTheme="minorHAnsi" w:hAnsiTheme="minorHAnsi"/>
                <w:sz w:val="24"/>
                <w:szCs w:val="24"/>
              </w:rPr>
            </w:pPr>
            <w:r w:rsidRPr="00A929CE">
              <w:rPr>
                <w:rFonts w:asciiTheme="minorHAnsi" w:hAnsiTheme="minorHAnsi"/>
                <w:sz w:val="24"/>
                <w:szCs w:val="24"/>
              </w:rPr>
              <w:t>Stratégie nationale de gestion des déchets liquides</w:t>
            </w:r>
          </w:p>
        </w:tc>
      </w:tr>
      <w:tr w:rsidR="00A32148" w:rsidRPr="00A929CE" w:rsidTr="00DE703E">
        <w:tc>
          <w:tcPr>
            <w:tcW w:w="1088" w:type="dxa"/>
          </w:tcPr>
          <w:p w:rsidR="00A32148" w:rsidRPr="00A929CE" w:rsidRDefault="00A32148" w:rsidP="00A929CE">
            <w:pPr>
              <w:spacing w:line="360" w:lineRule="auto"/>
              <w:jc w:val="center"/>
              <w:rPr>
                <w:rFonts w:asciiTheme="minorHAnsi" w:hAnsiTheme="minorHAnsi"/>
                <w:sz w:val="24"/>
                <w:szCs w:val="24"/>
              </w:rPr>
            </w:pPr>
            <w:r w:rsidRPr="00A929CE">
              <w:rPr>
                <w:rFonts w:asciiTheme="minorHAnsi" w:hAnsiTheme="minorHAnsi"/>
                <w:sz w:val="24"/>
                <w:szCs w:val="24"/>
              </w:rPr>
              <w:t>06</w:t>
            </w:r>
          </w:p>
        </w:tc>
        <w:tc>
          <w:tcPr>
            <w:tcW w:w="7974" w:type="dxa"/>
          </w:tcPr>
          <w:p w:rsidR="00A32148" w:rsidRPr="00A929CE" w:rsidRDefault="00A32148" w:rsidP="00A929CE">
            <w:pPr>
              <w:spacing w:line="360" w:lineRule="auto"/>
              <w:rPr>
                <w:rFonts w:asciiTheme="minorHAnsi" w:hAnsiTheme="minorHAnsi"/>
                <w:sz w:val="24"/>
                <w:szCs w:val="24"/>
              </w:rPr>
            </w:pPr>
            <w:r w:rsidRPr="00A929CE">
              <w:rPr>
                <w:rFonts w:asciiTheme="minorHAnsi" w:hAnsiTheme="minorHAnsi"/>
                <w:sz w:val="24"/>
                <w:szCs w:val="24"/>
              </w:rPr>
              <w:t>Stratégie nationale de gestion des déchets spéciaux</w:t>
            </w:r>
          </w:p>
        </w:tc>
      </w:tr>
      <w:tr w:rsidR="00A32148" w:rsidRPr="00A929CE" w:rsidTr="00DE703E">
        <w:tc>
          <w:tcPr>
            <w:tcW w:w="1088" w:type="dxa"/>
          </w:tcPr>
          <w:p w:rsidR="00A32148" w:rsidRPr="00A929CE" w:rsidRDefault="00A32148" w:rsidP="00A929CE">
            <w:pPr>
              <w:spacing w:line="360" w:lineRule="auto"/>
              <w:jc w:val="center"/>
              <w:rPr>
                <w:rFonts w:asciiTheme="minorHAnsi" w:hAnsiTheme="minorHAnsi"/>
                <w:sz w:val="24"/>
                <w:szCs w:val="24"/>
              </w:rPr>
            </w:pPr>
            <w:r w:rsidRPr="00A929CE">
              <w:rPr>
                <w:rFonts w:asciiTheme="minorHAnsi" w:hAnsiTheme="minorHAnsi"/>
                <w:sz w:val="24"/>
                <w:szCs w:val="24"/>
              </w:rPr>
              <w:t>07</w:t>
            </w:r>
          </w:p>
        </w:tc>
        <w:tc>
          <w:tcPr>
            <w:tcW w:w="7974" w:type="dxa"/>
          </w:tcPr>
          <w:p w:rsidR="00A32148" w:rsidRPr="00A929CE" w:rsidRDefault="00A32148" w:rsidP="00A929CE">
            <w:pPr>
              <w:spacing w:line="360" w:lineRule="auto"/>
              <w:rPr>
                <w:rFonts w:asciiTheme="minorHAnsi" w:hAnsiTheme="minorHAnsi"/>
                <w:sz w:val="24"/>
                <w:szCs w:val="24"/>
              </w:rPr>
            </w:pPr>
            <w:r w:rsidRPr="00A929CE">
              <w:rPr>
                <w:rFonts w:asciiTheme="minorHAnsi" w:hAnsiTheme="minorHAnsi"/>
                <w:sz w:val="24"/>
                <w:szCs w:val="24"/>
              </w:rPr>
              <w:t>Stratégie nationale de gestion des eaux pluviales</w:t>
            </w:r>
          </w:p>
        </w:tc>
      </w:tr>
      <w:tr w:rsidR="00A32148" w:rsidRPr="00A929CE" w:rsidTr="00DE703E">
        <w:tc>
          <w:tcPr>
            <w:tcW w:w="1088" w:type="dxa"/>
          </w:tcPr>
          <w:p w:rsidR="00A32148" w:rsidRPr="00A929CE" w:rsidRDefault="00A32148" w:rsidP="00A929CE">
            <w:pPr>
              <w:spacing w:line="360" w:lineRule="auto"/>
              <w:jc w:val="center"/>
              <w:rPr>
                <w:rFonts w:asciiTheme="minorHAnsi" w:hAnsiTheme="minorHAnsi"/>
                <w:sz w:val="24"/>
                <w:szCs w:val="24"/>
              </w:rPr>
            </w:pPr>
            <w:r w:rsidRPr="00A929CE">
              <w:rPr>
                <w:rFonts w:asciiTheme="minorHAnsi" w:hAnsiTheme="minorHAnsi"/>
                <w:sz w:val="24"/>
                <w:szCs w:val="24"/>
              </w:rPr>
              <w:t>08</w:t>
            </w:r>
          </w:p>
        </w:tc>
        <w:tc>
          <w:tcPr>
            <w:tcW w:w="7974" w:type="dxa"/>
          </w:tcPr>
          <w:p w:rsidR="00A32148" w:rsidRPr="00A929CE" w:rsidRDefault="00A32148" w:rsidP="00A929CE">
            <w:pPr>
              <w:spacing w:line="360" w:lineRule="auto"/>
              <w:rPr>
                <w:rFonts w:asciiTheme="minorHAnsi" w:hAnsiTheme="minorHAnsi"/>
                <w:sz w:val="24"/>
                <w:szCs w:val="24"/>
              </w:rPr>
            </w:pPr>
            <w:r w:rsidRPr="00A929CE">
              <w:rPr>
                <w:rFonts w:asciiTheme="minorHAnsi" w:hAnsiTheme="minorHAnsi"/>
                <w:sz w:val="24"/>
                <w:szCs w:val="24"/>
              </w:rPr>
              <w:t>Stratégie nationale de transfert des compétences gestion des déchets solides</w:t>
            </w:r>
          </w:p>
        </w:tc>
      </w:tr>
      <w:tr w:rsidR="00A32148" w:rsidRPr="00A929CE" w:rsidTr="00DE703E">
        <w:tc>
          <w:tcPr>
            <w:tcW w:w="1088" w:type="dxa"/>
          </w:tcPr>
          <w:p w:rsidR="00A32148" w:rsidRPr="00A929CE" w:rsidRDefault="00A32148" w:rsidP="00A929CE">
            <w:pPr>
              <w:spacing w:line="360" w:lineRule="auto"/>
              <w:jc w:val="center"/>
              <w:rPr>
                <w:rFonts w:asciiTheme="minorHAnsi" w:hAnsiTheme="minorHAnsi"/>
                <w:sz w:val="24"/>
                <w:szCs w:val="24"/>
              </w:rPr>
            </w:pPr>
            <w:r w:rsidRPr="00A929CE">
              <w:rPr>
                <w:rFonts w:asciiTheme="minorHAnsi" w:hAnsiTheme="minorHAnsi"/>
                <w:sz w:val="24"/>
                <w:szCs w:val="24"/>
              </w:rPr>
              <w:t>09</w:t>
            </w:r>
          </w:p>
        </w:tc>
        <w:tc>
          <w:tcPr>
            <w:tcW w:w="7974" w:type="dxa"/>
          </w:tcPr>
          <w:p w:rsidR="00A32148" w:rsidRPr="00A929CE" w:rsidRDefault="00A32148" w:rsidP="00A929CE">
            <w:pPr>
              <w:spacing w:line="360" w:lineRule="auto"/>
              <w:rPr>
                <w:rFonts w:asciiTheme="minorHAnsi" w:hAnsiTheme="minorHAnsi"/>
                <w:sz w:val="24"/>
                <w:szCs w:val="24"/>
              </w:rPr>
            </w:pPr>
            <w:r w:rsidRPr="00A929CE">
              <w:rPr>
                <w:rFonts w:asciiTheme="minorHAnsi" w:hAnsiTheme="minorHAnsi"/>
                <w:sz w:val="24"/>
                <w:szCs w:val="24"/>
              </w:rPr>
              <w:t>Budget programme 2016-2018 MEADD</w:t>
            </w:r>
          </w:p>
        </w:tc>
      </w:tr>
      <w:tr w:rsidR="00A32148" w:rsidRPr="00A929CE" w:rsidTr="00DE703E">
        <w:tc>
          <w:tcPr>
            <w:tcW w:w="1088" w:type="dxa"/>
          </w:tcPr>
          <w:p w:rsidR="00A32148" w:rsidRPr="00A929CE" w:rsidRDefault="00A32148" w:rsidP="00A929CE">
            <w:pPr>
              <w:spacing w:line="360" w:lineRule="auto"/>
              <w:jc w:val="center"/>
              <w:rPr>
                <w:rFonts w:asciiTheme="minorHAnsi" w:hAnsiTheme="minorHAnsi"/>
                <w:sz w:val="24"/>
                <w:szCs w:val="24"/>
              </w:rPr>
            </w:pPr>
            <w:r w:rsidRPr="00A929CE">
              <w:rPr>
                <w:rFonts w:asciiTheme="minorHAnsi" w:hAnsiTheme="minorHAnsi"/>
                <w:sz w:val="24"/>
                <w:szCs w:val="24"/>
              </w:rPr>
              <w:t>10.</w:t>
            </w:r>
          </w:p>
        </w:tc>
        <w:tc>
          <w:tcPr>
            <w:tcW w:w="7974" w:type="dxa"/>
          </w:tcPr>
          <w:p w:rsidR="00A32148" w:rsidRPr="00A929CE" w:rsidRDefault="00A32148" w:rsidP="00A929CE">
            <w:pPr>
              <w:spacing w:line="360" w:lineRule="auto"/>
              <w:rPr>
                <w:rFonts w:asciiTheme="minorHAnsi" w:hAnsiTheme="minorHAnsi"/>
                <w:sz w:val="24"/>
                <w:szCs w:val="24"/>
              </w:rPr>
            </w:pPr>
            <w:r w:rsidRPr="00A929CE">
              <w:rPr>
                <w:rFonts w:asciiTheme="minorHAnsi" w:hAnsiTheme="minorHAnsi"/>
                <w:sz w:val="24"/>
                <w:szCs w:val="24"/>
              </w:rPr>
              <w:t>Budget programme 2017-2019 MEADD</w:t>
            </w:r>
          </w:p>
        </w:tc>
      </w:tr>
      <w:tr w:rsidR="00A32148" w:rsidRPr="00A929CE" w:rsidTr="00DE703E">
        <w:tc>
          <w:tcPr>
            <w:tcW w:w="1088" w:type="dxa"/>
          </w:tcPr>
          <w:p w:rsidR="00A32148" w:rsidRPr="00A929CE" w:rsidRDefault="00A32148" w:rsidP="00A929CE">
            <w:pPr>
              <w:spacing w:line="360" w:lineRule="auto"/>
              <w:jc w:val="center"/>
              <w:rPr>
                <w:rFonts w:asciiTheme="minorHAnsi" w:hAnsiTheme="minorHAnsi"/>
                <w:sz w:val="24"/>
                <w:szCs w:val="24"/>
              </w:rPr>
            </w:pPr>
            <w:r w:rsidRPr="00A929CE">
              <w:rPr>
                <w:rFonts w:asciiTheme="minorHAnsi" w:hAnsiTheme="minorHAnsi"/>
                <w:sz w:val="24"/>
                <w:szCs w:val="24"/>
              </w:rPr>
              <w:t>11.</w:t>
            </w:r>
          </w:p>
        </w:tc>
        <w:tc>
          <w:tcPr>
            <w:tcW w:w="7974" w:type="dxa"/>
          </w:tcPr>
          <w:p w:rsidR="00A32148" w:rsidRPr="00A929CE" w:rsidRDefault="00A32148" w:rsidP="00A929CE">
            <w:pPr>
              <w:spacing w:line="360" w:lineRule="auto"/>
              <w:rPr>
                <w:rFonts w:asciiTheme="minorHAnsi" w:hAnsiTheme="minorHAnsi"/>
                <w:sz w:val="24"/>
                <w:szCs w:val="24"/>
              </w:rPr>
            </w:pPr>
            <w:r w:rsidRPr="00A929CE">
              <w:rPr>
                <w:rFonts w:asciiTheme="minorHAnsi" w:hAnsiTheme="minorHAnsi"/>
                <w:sz w:val="24"/>
                <w:szCs w:val="24"/>
              </w:rPr>
              <w:t>Rapport d’évaluation du PROSEA I</w:t>
            </w:r>
          </w:p>
        </w:tc>
      </w:tr>
      <w:tr w:rsidR="00A32148" w:rsidRPr="00A929CE" w:rsidTr="00DE703E">
        <w:tc>
          <w:tcPr>
            <w:tcW w:w="1088" w:type="dxa"/>
          </w:tcPr>
          <w:p w:rsidR="00A32148" w:rsidRPr="00A929CE" w:rsidRDefault="00A32148" w:rsidP="00A929CE">
            <w:pPr>
              <w:spacing w:line="360" w:lineRule="auto"/>
              <w:jc w:val="center"/>
              <w:rPr>
                <w:rFonts w:asciiTheme="minorHAnsi" w:hAnsiTheme="minorHAnsi"/>
                <w:sz w:val="24"/>
                <w:szCs w:val="24"/>
              </w:rPr>
            </w:pPr>
            <w:r w:rsidRPr="00A929CE">
              <w:rPr>
                <w:rFonts w:asciiTheme="minorHAnsi" w:hAnsiTheme="minorHAnsi"/>
                <w:sz w:val="24"/>
                <w:szCs w:val="24"/>
              </w:rPr>
              <w:t>12.</w:t>
            </w:r>
          </w:p>
        </w:tc>
        <w:tc>
          <w:tcPr>
            <w:tcW w:w="7974" w:type="dxa"/>
          </w:tcPr>
          <w:p w:rsidR="00A32148" w:rsidRPr="00A929CE" w:rsidRDefault="00A32148" w:rsidP="00A929CE">
            <w:pPr>
              <w:autoSpaceDE w:val="0"/>
              <w:autoSpaceDN w:val="0"/>
              <w:adjustRightInd w:val="0"/>
              <w:spacing w:line="360" w:lineRule="auto"/>
              <w:rPr>
                <w:rFonts w:asciiTheme="minorHAnsi" w:hAnsiTheme="minorHAnsi" w:cstheme="minorHAnsi"/>
                <w:bCs/>
                <w:color w:val="000000"/>
                <w:sz w:val="24"/>
                <w:szCs w:val="24"/>
              </w:rPr>
            </w:pPr>
            <w:r w:rsidRPr="00A929CE">
              <w:rPr>
                <w:rFonts w:asciiTheme="minorHAnsi" w:hAnsiTheme="minorHAnsi" w:cstheme="minorHAnsi"/>
                <w:bCs/>
                <w:color w:val="000000"/>
                <w:sz w:val="24"/>
                <w:szCs w:val="24"/>
              </w:rPr>
              <w:t>Cadre Stratégique Opérationnel, Mali, Secteur Eau, Assainissement et Hygiène</w:t>
            </w:r>
          </w:p>
          <w:p w:rsidR="00A32148" w:rsidRPr="00A929CE" w:rsidRDefault="00A32148" w:rsidP="00A929CE">
            <w:pPr>
              <w:autoSpaceDE w:val="0"/>
              <w:autoSpaceDN w:val="0"/>
              <w:adjustRightInd w:val="0"/>
              <w:spacing w:line="360" w:lineRule="auto"/>
              <w:rPr>
                <w:rFonts w:asciiTheme="minorHAnsi" w:hAnsiTheme="minorHAnsi"/>
                <w:sz w:val="24"/>
                <w:szCs w:val="24"/>
              </w:rPr>
            </w:pPr>
            <w:r w:rsidRPr="00A929CE">
              <w:rPr>
                <w:rFonts w:asciiTheme="minorHAnsi" w:hAnsiTheme="minorHAnsi" w:cstheme="minorHAnsi"/>
                <w:color w:val="000000"/>
                <w:sz w:val="24"/>
                <w:szCs w:val="24"/>
              </w:rPr>
              <w:t xml:space="preserve">Par le Cluster WASH, </w:t>
            </w:r>
            <w:r w:rsidRPr="00A929CE">
              <w:rPr>
                <w:rFonts w:asciiTheme="minorHAnsi" w:hAnsiTheme="minorHAnsi" w:cstheme="minorHAnsi"/>
                <w:bCs/>
                <w:color w:val="17365D"/>
                <w:sz w:val="24"/>
                <w:szCs w:val="24"/>
              </w:rPr>
              <w:t>Version 1, Juillet 2012</w:t>
            </w:r>
          </w:p>
        </w:tc>
      </w:tr>
      <w:tr w:rsidR="00A32148" w:rsidRPr="00A929CE" w:rsidTr="00DE703E">
        <w:tc>
          <w:tcPr>
            <w:tcW w:w="1088" w:type="dxa"/>
          </w:tcPr>
          <w:p w:rsidR="00A32148" w:rsidRPr="00A929CE" w:rsidRDefault="00A32148" w:rsidP="00A929CE">
            <w:pPr>
              <w:spacing w:line="360" w:lineRule="auto"/>
              <w:jc w:val="center"/>
              <w:rPr>
                <w:rFonts w:asciiTheme="minorHAnsi" w:hAnsiTheme="minorHAnsi"/>
                <w:sz w:val="24"/>
                <w:szCs w:val="24"/>
              </w:rPr>
            </w:pPr>
            <w:r w:rsidRPr="00A929CE">
              <w:rPr>
                <w:rFonts w:asciiTheme="minorHAnsi" w:hAnsiTheme="minorHAnsi"/>
                <w:sz w:val="24"/>
                <w:szCs w:val="24"/>
              </w:rPr>
              <w:t>13.</w:t>
            </w:r>
          </w:p>
        </w:tc>
        <w:tc>
          <w:tcPr>
            <w:tcW w:w="7974" w:type="dxa"/>
          </w:tcPr>
          <w:p w:rsidR="00A32148" w:rsidRPr="00A929CE" w:rsidRDefault="00A32148" w:rsidP="00A929CE">
            <w:pPr>
              <w:spacing w:line="360" w:lineRule="auto"/>
              <w:rPr>
                <w:rFonts w:asciiTheme="minorHAnsi" w:hAnsiTheme="minorHAnsi"/>
                <w:sz w:val="24"/>
                <w:szCs w:val="24"/>
              </w:rPr>
            </w:pPr>
            <w:r w:rsidRPr="00A929CE">
              <w:rPr>
                <w:rFonts w:asciiTheme="minorHAnsi" w:hAnsiTheme="minorHAnsi"/>
                <w:sz w:val="24"/>
                <w:szCs w:val="24"/>
              </w:rPr>
              <w:t>Identification et opérationnalisation des priorités de développement du Mali, Bamako, 2016</w:t>
            </w:r>
          </w:p>
        </w:tc>
      </w:tr>
      <w:tr w:rsidR="00A32148" w:rsidRPr="00A929CE" w:rsidTr="00DE703E">
        <w:tc>
          <w:tcPr>
            <w:tcW w:w="1088" w:type="dxa"/>
          </w:tcPr>
          <w:p w:rsidR="00A32148" w:rsidRPr="00A929CE" w:rsidRDefault="00A32148" w:rsidP="00A929CE">
            <w:pPr>
              <w:spacing w:line="360" w:lineRule="auto"/>
              <w:jc w:val="center"/>
              <w:rPr>
                <w:rFonts w:asciiTheme="minorHAnsi" w:hAnsiTheme="minorHAnsi"/>
                <w:sz w:val="24"/>
                <w:szCs w:val="24"/>
              </w:rPr>
            </w:pPr>
            <w:r w:rsidRPr="00A929CE">
              <w:rPr>
                <w:rFonts w:asciiTheme="minorHAnsi" w:hAnsiTheme="minorHAnsi"/>
                <w:sz w:val="24"/>
                <w:szCs w:val="24"/>
              </w:rPr>
              <w:t>14.</w:t>
            </w:r>
          </w:p>
        </w:tc>
        <w:tc>
          <w:tcPr>
            <w:tcW w:w="7974" w:type="dxa"/>
          </w:tcPr>
          <w:p w:rsidR="00A32148" w:rsidRPr="00A929CE" w:rsidRDefault="00A32148" w:rsidP="00A929CE">
            <w:pPr>
              <w:spacing w:line="360" w:lineRule="auto"/>
              <w:rPr>
                <w:rFonts w:asciiTheme="minorHAnsi" w:hAnsiTheme="minorHAnsi"/>
                <w:sz w:val="24"/>
                <w:szCs w:val="24"/>
              </w:rPr>
            </w:pPr>
            <w:r w:rsidRPr="00A929CE">
              <w:rPr>
                <w:rFonts w:asciiTheme="minorHAnsi" w:hAnsiTheme="minorHAnsi"/>
                <w:sz w:val="24"/>
                <w:szCs w:val="24"/>
              </w:rPr>
              <w:t xml:space="preserve">DECRET 0572/P-RM du 22 juillet 2014 fixant le détail des compétences transférées de l’Etat aux Collectivités Territoriales </w:t>
            </w:r>
          </w:p>
        </w:tc>
      </w:tr>
      <w:tr w:rsidR="00A32148" w:rsidRPr="00A929CE" w:rsidTr="00DE703E">
        <w:tc>
          <w:tcPr>
            <w:tcW w:w="1088" w:type="dxa"/>
          </w:tcPr>
          <w:p w:rsidR="00A32148" w:rsidRPr="00A929CE" w:rsidRDefault="00A32148" w:rsidP="00A929CE">
            <w:pPr>
              <w:spacing w:line="360" w:lineRule="auto"/>
              <w:jc w:val="center"/>
              <w:rPr>
                <w:rFonts w:asciiTheme="minorHAnsi" w:hAnsiTheme="minorHAnsi"/>
                <w:sz w:val="24"/>
                <w:szCs w:val="24"/>
              </w:rPr>
            </w:pPr>
            <w:r w:rsidRPr="00A929CE">
              <w:rPr>
                <w:rFonts w:asciiTheme="minorHAnsi" w:hAnsiTheme="minorHAnsi"/>
                <w:sz w:val="24"/>
                <w:szCs w:val="24"/>
              </w:rPr>
              <w:t>15.</w:t>
            </w:r>
          </w:p>
        </w:tc>
        <w:tc>
          <w:tcPr>
            <w:tcW w:w="7974" w:type="dxa"/>
          </w:tcPr>
          <w:p w:rsidR="00A32148" w:rsidRPr="00A929CE" w:rsidRDefault="00A32148" w:rsidP="00A929CE">
            <w:pPr>
              <w:spacing w:line="360" w:lineRule="auto"/>
              <w:ind w:right="601"/>
              <w:jc w:val="both"/>
              <w:rPr>
                <w:rFonts w:asciiTheme="minorHAnsi" w:hAnsiTheme="minorHAnsi"/>
                <w:sz w:val="24"/>
                <w:szCs w:val="24"/>
              </w:rPr>
            </w:pPr>
            <w:r w:rsidRPr="00A929CE">
              <w:rPr>
                <w:rFonts w:asciiTheme="minorHAnsi" w:hAnsiTheme="minorHAnsi" w:cs="Tahoma"/>
                <w:bCs/>
                <w:sz w:val="24"/>
                <w:szCs w:val="24"/>
              </w:rPr>
              <w:t>Programme Sectoriel Eau et Assainissement (PROSEA II), version provisoire, Bamako, février 2018</w:t>
            </w:r>
          </w:p>
        </w:tc>
      </w:tr>
      <w:tr w:rsidR="00A32148" w:rsidRPr="00A929CE" w:rsidTr="00DE703E">
        <w:tc>
          <w:tcPr>
            <w:tcW w:w="1088" w:type="dxa"/>
          </w:tcPr>
          <w:p w:rsidR="00A32148" w:rsidRPr="00A929CE" w:rsidRDefault="00A32148" w:rsidP="00A929CE">
            <w:pPr>
              <w:spacing w:line="360" w:lineRule="auto"/>
              <w:jc w:val="center"/>
              <w:rPr>
                <w:rFonts w:asciiTheme="minorHAnsi" w:hAnsiTheme="minorHAnsi"/>
                <w:sz w:val="24"/>
                <w:szCs w:val="24"/>
              </w:rPr>
            </w:pPr>
            <w:r w:rsidRPr="00A929CE">
              <w:rPr>
                <w:rFonts w:asciiTheme="minorHAnsi" w:hAnsiTheme="minorHAnsi"/>
                <w:sz w:val="24"/>
                <w:szCs w:val="24"/>
              </w:rPr>
              <w:t>17.</w:t>
            </w:r>
          </w:p>
        </w:tc>
        <w:tc>
          <w:tcPr>
            <w:tcW w:w="7974" w:type="dxa"/>
          </w:tcPr>
          <w:p w:rsidR="00A32148" w:rsidRPr="00A929CE" w:rsidRDefault="00A32148" w:rsidP="00A929CE">
            <w:pPr>
              <w:spacing w:line="360" w:lineRule="auto"/>
              <w:rPr>
                <w:rFonts w:asciiTheme="minorHAnsi" w:hAnsiTheme="minorHAnsi"/>
                <w:sz w:val="24"/>
                <w:szCs w:val="24"/>
              </w:rPr>
            </w:pPr>
            <w:r w:rsidRPr="00A929CE">
              <w:rPr>
                <w:rFonts w:asciiTheme="minorHAnsi" w:hAnsiTheme="minorHAnsi"/>
                <w:sz w:val="24"/>
                <w:szCs w:val="24"/>
              </w:rPr>
              <w:t>Rapport-Bilan, DNACPN, Bamako 2010</w:t>
            </w:r>
          </w:p>
        </w:tc>
      </w:tr>
      <w:tr w:rsidR="00A32148" w:rsidRPr="00A929CE" w:rsidTr="00DE703E">
        <w:tc>
          <w:tcPr>
            <w:tcW w:w="1088" w:type="dxa"/>
          </w:tcPr>
          <w:p w:rsidR="00A32148" w:rsidRPr="00A929CE" w:rsidRDefault="00A32148" w:rsidP="00A929CE">
            <w:pPr>
              <w:spacing w:line="360" w:lineRule="auto"/>
              <w:jc w:val="center"/>
              <w:rPr>
                <w:rFonts w:asciiTheme="minorHAnsi" w:hAnsiTheme="minorHAnsi"/>
                <w:sz w:val="24"/>
                <w:szCs w:val="24"/>
              </w:rPr>
            </w:pPr>
            <w:r w:rsidRPr="00A929CE">
              <w:rPr>
                <w:rFonts w:asciiTheme="minorHAnsi" w:hAnsiTheme="minorHAnsi"/>
                <w:sz w:val="24"/>
                <w:szCs w:val="24"/>
              </w:rPr>
              <w:t>18.</w:t>
            </w:r>
          </w:p>
        </w:tc>
        <w:tc>
          <w:tcPr>
            <w:tcW w:w="7974" w:type="dxa"/>
          </w:tcPr>
          <w:p w:rsidR="00A32148" w:rsidRPr="00A929CE" w:rsidRDefault="00A32148" w:rsidP="00A929CE">
            <w:pPr>
              <w:spacing w:line="360" w:lineRule="auto"/>
              <w:rPr>
                <w:rFonts w:asciiTheme="minorHAnsi" w:hAnsiTheme="minorHAnsi"/>
                <w:sz w:val="24"/>
                <w:szCs w:val="24"/>
              </w:rPr>
            </w:pPr>
            <w:r w:rsidRPr="00A929CE">
              <w:rPr>
                <w:rFonts w:asciiTheme="minorHAnsi" w:hAnsiTheme="minorHAnsi"/>
                <w:sz w:val="24"/>
                <w:szCs w:val="24"/>
              </w:rPr>
              <w:t>Revue sectorielle 2015 – Secteur Eau, Environnement, urbanisme et Domaine de l’Etat</w:t>
            </w:r>
          </w:p>
        </w:tc>
      </w:tr>
    </w:tbl>
    <w:p w:rsidR="00A32148" w:rsidRPr="00A929CE" w:rsidRDefault="00A32148" w:rsidP="00A929CE">
      <w:pPr>
        <w:spacing w:line="360" w:lineRule="auto"/>
        <w:jc w:val="center"/>
        <w:rPr>
          <w:rFonts w:asciiTheme="minorHAnsi" w:hAnsiTheme="minorHAnsi"/>
          <w:b/>
          <w:sz w:val="24"/>
          <w:szCs w:val="24"/>
        </w:rPr>
      </w:pPr>
    </w:p>
    <w:p w:rsidR="00A32148" w:rsidRPr="00B8772C" w:rsidRDefault="00A32148" w:rsidP="00B8772C">
      <w:pPr>
        <w:spacing w:line="360" w:lineRule="auto"/>
        <w:jc w:val="both"/>
        <w:rPr>
          <w:rFonts w:asciiTheme="minorHAnsi" w:hAnsiTheme="minorHAnsi" w:cstheme="minorHAnsi"/>
          <w:sz w:val="24"/>
          <w:szCs w:val="24"/>
        </w:rPr>
      </w:pPr>
    </w:p>
    <w:p w:rsidR="00A32148" w:rsidRPr="001754BB" w:rsidRDefault="00A32148" w:rsidP="00B8772C">
      <w:pPr>
        <w:spacing w:line="360" w:lineRule="auto"/>
        <w:jc w:val="both"/>
        <w:rPr>
          <w:rFonts w:asciiTheme="minorHAnsi" w:hAnsiTheme="minorHAnsi" w:cstheme="minorHAnsi"/>
          <w:sz w:val="24"/>
          <w:szCs w:val="24"/>
        </w:rPr>
      </w:pPr>
    </w:p>
    <w:p w:rsidR="00A32148" w:rsidRPr="001754BB" w:rsidRDefault="00A32148" w:rsidP="001754BB">
      <w:pPr>
        <w:spacing w:line="360" w:lineRule="auto"/>
        <w:jc w:val="both"/>
        <w:rPr>
          <w:rFonts w:asciiTheme="minorHAnsi" w:hAnsiTheme="minorHAnsi" w:cstheme="minorHAnsi"/>
          <w:sz w:val="24"/>
          <w:szCs w:val="24"/>
        </w:rPr>
      </w:pPr>
    </w:p>
    <w:p w:rsidR="00A32148" w:rsidRPr="00BC7FF5" w:rsidRDefault="00A32148" w:rsidP="001754BB">
      <w:pPr>
        <w:spacing w:line="360" w:lineRule="auto"/>
        <w:jc w:val="both"/>
        <w:rPr>
          <w:rFonts w:asciiTheme="minorHAnsi" w:hAnsiTheme="minorHAnsi" w:cstheme="minorHAnsi"/>
          <w:sz w:val="24"/>
          <w:szCs w:val="24"/>
        </w:rPr>
      </w:pPr>
    </w:p>
    <w:p w:rsidR="00A32148" w:rsidRPr="00BC7FF5" w:rsidRDefault="00A32148" w:rsidP="00BC7FF5">
      <w:pPr>
        <w:spacing w:line="360" w:lineRule="auto"/>
        <w:jc w:val="both"/>
        <w:rPr>
          <w:rFonts w:asciiTheme="minorHAnsi" w:hAnsiTheme="minorHAnsi" w:cstheme="minorHAnsi"/>
          <w:sz w:val="24"/>
          <w:szCs w:val="24"/>
        </w:rPr>
      </w:pPr>
    </w:p>
    <w:p w:rsidR="00A32148" w:rsidRPr="00A929CE" w:rsidRDefault="00A32148" w:rsidP="00A929CE">
      <w:pPr>
        <w:spacing w:line="360" w:lineRule="auto"/>
        <w:jc w:val="both"/>
        <w:rPr>
          <w:rFonts w:asciiTheme="minorHAnsi" w:hAnsiTheme="minorHAnsi" w:cstheme="minorHAnsi"/>
          <w:sz w:val="24"/>
          <w:szCs w:val="24"/>
        </w:rPr>
      </w:pPr>
    </w:p>
    <w:p w:rsidR="00A32148" w:rsidRPr="00A929CE" w:rsidRDefault="00A32148" w:rsidP="00A929CE">
      <w:pPr>
        <w:spacing w:line="360" w:lineRule="auto"/>
        <w:jc w:val="both"/>
        <w:rPr>
          <w:rFonts w:asciiTheme="minorHAnsi" w:hAnsiTheme="minorHAnsi" w:cstheme="minorHAnsi"/>
          <w:sz w:val="24"/>
          <w:szCs w:val="24"/>
        </w:rPr>
      </w:pPr>
    </w:p>
    <w:p w:rsidR="00A32148" w:rsidRPr="00A929CE" w:rsidRDefault="00A32148" w:rsidP="00A929CE">
      <w:pPr>
        <w:spacing w:line="360" w:lineRule="auto"/>
        <w:jc w:val="both"/>
        <w:rPr>
          <w:rFonts w:asciiTheme="minorHAnsi" w:hAnsiTheme="minorHAnsi" w:cstheme="minorHAnsi"/>
          <w:sz w:val="24"/>
          <w:szCs w:val="24"/>
        </w:rPr>
      </w:pPr>
    </w:p>
    <w:p w:rsidR="00A32148" w:rsidRPr="00B8772C" w:rsidRDefault="00A32148" w:rsidP="00A929CE">
      <w:pPr>
        <w:pStyle w:val="Titre2"/>
        <w:spacing w:line="360" w:lineRule="auto"/>
        <w:rPr>
          <w:rFonts w:asciiTheme="minorHAnsi" w:hAnsiTheme="minorHAnsi"/>
          <w:szCs w:val="24"/>
        </w:rPr>
      </w:pPr>
      <w:bookmarkStart w:id="94" w:name="_Toc536448620"/>
      <w:r w:rsidRPr="00B8772C">
        <w:rPr>
          <w:rFonts w:asciiTheme="minorHAnsi" w:hAnsiTheme="minorHAnsi"/>
          <w:szCs w:val="24"/>
        </w:rPr>
        <w:t xml:space="preserve">Annexe 5 : </w:t>
      </w:r>
      <w:r w:rsidRPr="00A929CE">
        <w:rPr>
          <w:rFonts w:asciiTheme="minorHAnsi" w:hAnsiTheme="minorHAnsi"/>
          <w:szCs w:val="24"/>
        </w:rPr>
        <w:t>Liste des personnes rencontrées</w:t>
      </w:r>
      <w:bookmarkEnd w:id="94"/>
    </w:p>
    <w:p w:rsidR="00A32148" w:rsidRPr="00A929CE" w:rsidRDefault="00A32148" w:rsidP="00A929CE">
      <w:pPr>
        <w:spacing w:line="360" w:lineRule="auto"/>
        <w:jc w:val="center"/>
        <w:rPr>
          <w:rFonts w:asciiTheme="minorHAnsi" w:hAnsiTheme="minorHAnsi"/>
          <w:b/>
          <w:sz w:val="24"/>
          <w:szCs w:val="24"/>
        </w:rPr>
      </w:pPr>
    </w:p>
    <w:p w:rsidR="00A32148" w:rsidRPr="00A929CE" w:rsidRDefault="00A32148" w:rsidP="00A929CE">
      <w:pPr>
        <w:spacing w:line="360" w:lineRule="auto"/>
        <w:jc w:val="center"/>
        <w:rPr>
          <w:rFonts w:asciiTheme="minorHAnsi" w:hAnsiTheme="minorHAnsi"/>
          <w:b/>
          <w:sz w:val="24"/>
          <w:szCs w:val="24"/>
        </w:rPr>
      </w:pPr>
      <w:r w:rsidRPr="00A929CE">
        <w:rPr>
          <w:rFonts w:asciiTheme="minorHAnsi" w:hAnsiTheme="minorHAnsi"/>
          <w:b/>
          <w:sz w:val="24"/>
          <w:szCs w:val="24"/>
        </w:rPr>
        <w:t>Mission d’évaluation de la mise en œuvre de la PNA</w:t>
      </w:r>
    </w:p>
    <w:p w:rsidR="00A32148" w:rsidRPr="00A929CE" w:rsidRDefault="00A32148" w:rsidP="00A929CE">
      <w:pPr>
        <w:spacing w:line="360" w:lineRule="auto"/>
        <w:jc w:val="center"/>
        <w:rPr>
          <w:rFonts w:asciiTheme="minorHAnsi" w:hAnsiTheme="minorHAnsi"/>
          <w:b/>
          <w:sz w:val="24"/>
          <w:szCs w:val="24"/>
        </w:rPr>
      </w:pPr>
    </w:p>
    <w:p w:rsidR="00A32148" w:rsidRPr="00A929CE" w:rsidRDefault="00A32148" w:rsidP="00A929CE">
      <w:pPr>
        <w:spacing w:line="360" w:lineRule="auto"/>
        <w:jc w:val="center"/>
        <w:rPr>
          <w:rFonts w:asciiTheme="minorHAnsi" w:hAnsiTheme="minorHAnsi"/>
          <w:b/>
          <w:sz w:val="24"/>
          <w:szCs w:val="24"/>
        </w:rPr>
      </w:pPr>
    </w:p>
    <w:tbl>
      <w:tblPr>
        <w:tblStyle w:val="Grilledutableau"/>
        <w:tblW w:w="9322" w:type="dxa"/>
        <w:tblLook w:val="04A0" w:firstRow="1" w:lastRow="0" w:firstColumn="1" w:lastColumn="0" w:noHBand="0" w:noVBand="1"/>
      </w:tblPr>
      <w:tblGrid>
        <w:gridCol w:w="3399"/>
        <w:gridCol w:w="3148"/>
        <w:gridCol w:w="2775"/>
      </w:tblGrid>
      <w:tr w:rsidR="00A32148" w:rsidRPr="00A929CE" w:rsidTr="00DE703E">
        <w:tc>
          <w:tcPr>
            <w:tcW w:w="3399" w:type="dxa"/>
          </w:tcPr>
          <w:p w:rsidR="00A32148" w:rsidRPr="00A929CE" w:rsidRDefault="00A32148" w:rsidP="00A929CE">
            <w:pPr>
              <w:spacing w:line="360" w:lineRule="auto"/>
              <w:jc w:val="center"/>
              <w:rPr>
                <w:rFonts w:asciiTheme="minorHAnsi" w:hAnsiTheme="minorHAnsi"/>
                <w:b/>
                <w:sz w:val="24"/>
                <w:szCs w:val="24"/>
              </w:rPr>
            </w:pPr>
            <w:r w:rsidRPr="00A929CE">
              <w:rPr>
                <w:rFonts w:asciiTheme="minorHAnsi" w:hAnsiTheme="minorHAnsi"/>
                <w:b/>
                <w:sz w:val="24"/>
                <w:szCs w:val="24"/>
              </w:rPr>
              <w:t>Nom et Prénom</w:t>
            </w:r>
          </w:p>
        </w:tc>
        <w:tc>
          <w:tcPr>
            <w:tcW w:w="3148" w:type="dxa"/>
          </w:tcPr>
          <w:p w:rsidR="00A32148" w:rsidRPr="00A929CE" w:rsidRDefault="00A32148" w:rsidP="00A929CE">
            <w:pPr>
              <w:spacing w:line="360" w:lineRule="auto"/>
              <w:jc w:val="center"/>
              <w:rPr>
                <w:rFonts w:asciiTheme="minorHAnsi" w:hAnsiTheme="minorHAnsi"/>
                <w:b/>
                <w:sz w:val="24"/>
                <w:szCs w:val="24"/>
              </w:rPr>
            </w:pPr>
            <w:r w:rsidRPr="00A929CE">
              <w:rPr>
                <w:rFonts w:asciiTheme="minorHAnsi" w:hAnsiTheme="minorHAnsi"/>
                <w:b/>
                <w:sz w:val="24"/>
                <w:szCs w:val="24"/>
              </w:rPr>
              <w:t>Position</w:t>
            </w:r>
          </w:p>
        </w:tc>
        <w:tc>
          <w:tcPr>
            <w:tcW w:w="2775" w:type="dxa"/>
          </w:tcPr>
          <w:p w:rsidR="00A32148" w:rsidRPr="00A929CE" w:rsidRDefault="00A32148" w:rsidP="00A929CE">
            <w:pPr>
              <w:spacing w:line="360" w:lineRule="auto"/>
              <w:jc w:val="center"/>
              <w:rPr>
                <w:rFonts w:asciiTheme="minorHAnsi" w:hAnsiTheme="minorHAnsi"/>
                <w:b/>
                <w:sz w:val="24"/>
                <w:szCs w:val="24"/>
              </w:rPr>
            </w:pPr>
            <w:r w:rsidRPr="00A929CE">
              <w:rPr>
                <w:rFonts w:asciiTheme="minorHAnsi" w:hAnsiTheme="minorHAnsi"/>
                <w:b/>
                <w:sz w:val="24"/>
                <w:szCs w:val="24"/>
              </w:rPr>
              <w:t>Structure</w:t>
            </w:r>
          </w:p>
        </w:tc>
      </w:tr>
      <w:tr w:rsidR="00A32148" w:rsidRPr="00A929CE" w:rsidTr="00DE703E">
        <w:tc>
          <w:tcPr>
            <w:tcW w:w="3399" w:type="dxa"/>
          </w:tcPr>
          <w:p w:rsidR="00A32148" w:rsidRPr="00A929CE" w:rsidRDefault="00A32148" w:rsidP="00A929CE">
            <w:pPr>
              <w:spacing w:line="360" w:lineRule="auto"/>
              <w:rPr>
                <w:rFonts w:asciiTheme="minorHAnsi" w:hAnsiTheme="minorHAnsi"/>
                <w:sz w:val="24"/>
                <w:szCs w:val="24"/>
              </w:rPr>
            </w:pPr>
            <w:r w:rsidRPr="00A929CE">
              <w:rPr>
                <w:rFonts w:asciiTheme="minorHAnsi" w:hAnsiTheme="minorHAnsi"/>
                <w:sz w:val="24"/>
                <w:szCs w:val="24"/>
              </w:rPr>
              <w:t xml:space="preserve">Mr Drissa TROARE </w:t>
            </w:r>
          </w:p>
        </w:tc>
        <w:tc>
          <w:tcPr>
            <w:tcW w:w="3148" w:type="dxa"/>
          </w:tcPr>
          <w:p w:rsidR="00A32148" w:rsidRPr="00A929CE" w:rsidRDefault="00A32148" w:rsidP="00A929CE">
            <w:pPr>
              <w:spacing w:line="360" w:lineRule="auto"/>
              <w:jc w:val="center"/>
              <w:rPr>
                <w:rFonts w:asciiTheme="minorHAnsi" w:hAnsiTheme="minorHAnsi"/>
                <w:sz w:val="24"/>
                <w:szCs w:val="24"/>
              </w:rPr>
            </w:pPr>
            <w:r w:rsidRPr="00A929CE">
              <w:rPr>
                <w:rFonts w:asciiTheme="minorHAnsi" w:hAnsiTheme="minorHAnsi"/>
                <w:sz w:val="24"/>
                <w:szCs w:val="24"/>
              </w:rPr>
              <w:t>Conseil au Cabinet</w:t>
            </w:r>
          </w:p>
        </w:tc>
        <w:tc>
          <w:tcPr>
            <w:tcW w:w="2775" w:type="dxa"/>
          </w:tcPr>
          <w:p w:rsidR="00A32148" w:rsidRPr="00A929CE" w:rsidRDefault="00A32148" w:rsidP="00A929CE">
            <w:pPr>
              <w:spacing w:line="360" w:lineRule="auto"/>
              <w:jc w:val="center"/>
              <w:rPr>
                <w:rFonts w:asciiTheme="minorHAnsi" w:hAnsiTheme="minorHAnsi"/>
                <w:sz w:val="24"/>
                <w:szCs w:val="24"/>
              </w:rPr>
            </w:pPr>
            <w:r w:rsidRPr="00A929CE">
              <w:rPr>
                <w:rFonts w:asciiTheme="minorHAnsi" w:hAnsiTheme="minorHAnsi"/>
                <w:sz w:val="24"/>
                <w:szCs w:val="24"/>
              </w:rPr>
              <w:t>MEADD</w:t>
            </w:r>
          </w:p>
        </w:tc>
      </w:tr>
      <w:tr w:rsidR="00A32148" w:rsidRPr="00A929CE" w:rsidTr="00DE703E">
        <w:tc>
          <w:tcPr>
            <w:tcW w:w="3399" w:type="dxa"/>
          </w:tcPr>
          <w:p w:rsidR="00A32148" w:rsidRPr="00A929CE" w:rsidRDefault="00A32148" w:rsidP="00A929CE">
            <w:pPr>
              <w:spacing w:line="360" w:lineRule="auto"/>
              <w:rPr>
                <w:rFonts w:asciiTheme="minorHAnsi" w:hAnsiTheme="minorHAnsi"/>
                <w:sz w:val="24"/>
                <w:szCs w:val="24"/>
              </w:rPr>
            </w:pPr>
            <w:r w:rsidRPr="00A929CE">
              <w:rPr>
                <w:rFonts w:asciiTheme="minorHAnsi" w:hAnsiTheme="minorHAnsi"/>
                <w:sz w:val="24"/>
                <w:szCs w:val="24"/>
              </w:rPr>
              <w:t>Mme NIANFO Fatouma</w:t>
            </w:r>
            <w:r w:rsidR="00C87FC0">
              <w:rPr>
                <w:rFonts w:asciiTheme="minorHAnsi" w:hAnsiTheme="minorHAnsi"/>
                <w:sz w:val="24"/>
                <w:szCs w:val="24"/>
              </w:rPr>
              <w:t xml:space="preserve"> ASCOFARE</w:t>
            </w:r>
          </w:p>
        </w:tc>
        <w:tc>
          <w:tcPr>
            <w:tcW w:w="3148" w:type="dxa"/>
          </w:tcPr>
          <w:p w:rsidR="00A32148" w:rsidRPr="00A929CE" w:rsidRDefault="00A32148" w:rsidP="00A929CE">
            <w:pPr>
              <w:spacing w:line="360" w:lineRule="auto"/>
              <w:jc w:val="center"/>
              <w:rPr>
                <w:rFonts w:asciiTheme="minorHAnsi" w:hAnsiTheme="minorHAnsi"/>
                <w:sz w:val="24"/>
                <w:szCs w:val="24"/>
              </w:rPr>
            </w:pPr>
            <w:r w:rsidRPr="00A929CE">
              <w:rPr>
                <w:rFonts w:asciiTheme="minorHAnsi" w:hAnsiTheme="minorHAnsi"/>
                <w:sz w:val="24"/>
                <w:szCs w:val="24"/>
              </w:rPr>
              <w:t xml:space="preserve">Directrice par intérim </w:t>
            </w:r>
          </w:p>
        </w:tc>
        <w:tc>
          <w:tcPr>
            <w:tcW w:w="2775" w:type="dxa"/>
          </w:tcPr>
          <w:p w:rsidR="00A32148" w:rsidRPr="00A929CE" w:rsidRDefault="00A32148" w:rsidP="00A929CE">
            <w:pPr>
              <w:spacing w:line="360" w:lineRule="auto"/>
              <w:jc w:val="center"/>
              <w:rPr>
                <w:rFonts w:asciiTheme="minorHAnsi" w:hAnsiTheme="minorHAnsi"/>
                <w:sz w:val="24"/>
                <w:szCs w:val="24"/>
              </w:rPr>
            </w:pPr>
            <w:r w:rsidRPr="00A929CE">
              <w:rPr>
                <w:rFonts w:asciiTheme="minorHAnsi" w:hAnsiTheme="minorHAnsi"/>
                <w:sz w:val="24"/>
                <w:szCs w:val="24"/>
              </w:rPr>
              <w:t>DNACPN</w:t>
            </w:r>
          </w:p>
        </w:tc>
      </w:tr>
      <w:tr w:rsidR="00A32148" w:rsidRPr="00A929CE" w:rsidTr="00DE703E">
        <w:tc>
          <w:tcPr>
            <w:tcW w:w="3399" w:type="dxa"/>
          </w:tcPr>
          <w:p w:rsidR="00A32148" w:rsidRPr="00A929CE" w:rsidRDefault="00A32148" w:rsidP="00A929CE">
            <w:pPr>
              <w:spacing w:line="360" w:lineRule="auto"/>
              <w:rPr>
                <w:rFonts w:asciiTheme="minorHAnsi" w:hAnsiTheme="minorHAnsi"/>
                <w:sz w:val="24"/>
                <w:szCs w:val="24"/>
              </w:rPr>
            </w:pPr>
            <w:r w:rsidRPr="00A929CE">
              <w:rPr>
                <w:rFonts w:asciiTheme="minorHAnsi" w:hAnsiTheme="minorHAnsi"/>
                <w:sz w:val="24"/>
                <w:szCs w:val="24"/>
              </w:rPr>
              <w:t>Mr Souleymane Guindo</w:t>
            </w:r>
          </w:p>
        </w:tc>
        <w:tc>
          <w:tcPr>
            <w:tcW w:w="3148" w:type="dxa"/>
          </w:tcPr>
          <w:p w:rsidR="00A32148" w:rsidRPr="00A929CE" w:rsidRDefault="00A32148" w:rsidP="00A929CE">
            <w:pPr>
              <w:spacing w:line="360" w:lineRule="auto"/>
              <w:jc w:val="center"/>
              <w:rPr>
                <w:rFonts w:asciiTheme="minorHAnsi" w:hAnsiTheme="minorHAnsi"/>
                <w:sz w:val="24"/>
                <w:szCs w:val="24"/>
              </w:rPr>
            </w:pPr>
            <w:r w:rsidRPr="00A929CE">
              <w:rPr>
                <w:rFonts w:asciiTheme="minorHAnsi" w:hAnsiTheme="minorHAnsi"/>
                <w:sz w:val="24"/>
                <w:szCs w:val="24"/>
              </w:rPr>
              <w:t>Chef Division Planification p.i</w:t>
            </w:r>
          </w:p>
        </w:tc>
        <w:tc>
          <w:tcPr>
            <w:tcW w:w="2775" w:type="dxa"/>
          </w:tcPr>
          <w:p w:rsidR="00A32148" w:rsidRPr="00A929CE" w:rsidRDefault="00A32148" w:rsidP="00A929CE">
            <w:pPr>
              <w:spacing w:line="360" w:lineRule="auto"/>
              <w:jc w:val="center"/>
              <w:rPr>
                <w:rFonts w:asciiTheme="minorHAnsi" w:hAnsiTheme="minorHAnsi"/>
                <w:sz w:val="24"/>
                <w:szCs w:val="24"/>
              </w:rPr>
            </w:pPr>
            <w:r w:rsidRPr="00A929CE">
              <w:rPr>
                <w:rFonts w:asciiTheme="minorHAnsi" w:hAnsiTheme="minorHAnsi"/>
                <w:sz w:val="24"/>
                <w:szCs w:val="24"/>
              </w:rPr>
              <w:t>DNACPN</w:t>
            </w:r>
          </w:p>
        </w:tc>
      </w:tr>
      <w:tr w:rsidR="00A32148" w:rsidRPr="00A929CE" w:rsidTr="00DE703E">
        <w:tc>
          <w:tcPr>
            <w:tcW w:w="3399" w:type="dxa"/>
          </w:tcPr>
          <w:p w:rsidR="00A32148" w:rsidRPr="00A929CE" w:rsidRDefault="00A32148" w:rsidP="00A929CE">
            <w:pPr>
              <w:spacing w:line="360" w:lineRule="auto"/>
              <w:rPr>
                <w:rFonts w:asciiTheme="minorHAnsi" w:hAnsiTheme="minorHAnsi"/>
                <w:sz w:val="24"/>
                <w:szCs w:val="24"/>
              </w:rPr>
            </w:pPr>
            <w:r w:rsidRPr="00A929CE">
              <w:rPr>
                <w:rFonts w:asciiTheme="minorHAnsi" w:hAnsiTheme="minorHAnsi"/>
                <w:sz w:val="24"/>
                <w:szCs w:val="24"/>
              </w:rPr>
              <w:t>Mr Fousseny DIARRA</w:t>
            </w:r>
          </w:p>
        </w:tc>
        <w:tc>
          <w:tcPr>
            <w:tcW w:w="3148" w:type="dxa"/>
          </w:tcPr>
          <w:p w:rsidR="00A32148" w:rsidRPr="00A929CE" w:rsidRDefault="00A32148" w:rsidP="00A929CE">
            <w:pPr>
              <w:spacing w:line="360" w:lineRule="auto"/>
              <w:jc w:val="center"/>
              <w:rPr>
                <w:rFonts w:asciiTheme="minorHAnsi" w:hAnsiTheme="minorHAnsi"/>
                <w:sz w:val="24"/>
                <w:szCs w:val="24"/>
              </w:rPr>
            </w:pPr>
            <w:r w:rsidRPr="00A929CE">
              <w:rPr>
                <w:rFonts w:asciiTheme="minorHAnsi" w:hAnsiTheme="minorHAnsi"/>
                <w:sz w:val="24"/>
                <w:szCs w:val="24"/>
              </w:rPr>
              <w:t xml:space="preserve">Chef Division Assainissement </w:t>
            </w:r>
          </w:p>
        </w:tc>
        <w:tc>
          <w:tcPr>
            <w:tcW w:w="2775" w:type="dxa"/>
          </w:tcPr>
          <w:p w:rsidR="00A32148" w:rsidRPr="00A929CE" w:rsidRDefault="00A32148" w:rsidP="00A929CE">
            <w:pPr>
              <w:spacing w:line="360" w:lineRule="auto"/>
              <w:jc w:val="center"/>
              <w:rPr>
                <w:rFonts w:asciiTheme="minorHAnsi" w:hAnsiTheme="minorHAnsi"/>
                <w:sz w:val="24"/>
                <w:szCs w:val="24"/>
              </w:rPr>
            </w:pPr>
            <w:r w:rsidRPr="00A929CE">
              <w:rPr>
                <w:rFonts w:asciiTheme="minorHAnsi" w:hAnsiTheme="minorHAnsi"/>
                <w:sz w:val="24"/>
                <w:szCs w:val="24"/>
              </w:rPr>
              <w:t>DNACPN</w:t>
            </w:r>
          </w:p>
        </w:tc>
      </w:tr>
      <w:tr w:rsidR="00A32148" w:rsidRPr="00A929CE" w:rsidTr="00DE703E">
        <w:tc>
          <w:tcPr>
            <w:tcW w:w="3399" w:type="dxa"/>
          </w:tcPr>
          <w:p w:rsidR="00A32148" w:rsidRPr="00A929CE" w:rsidRDefault="00A32148" w:rsidP="00A929CE">
            <w:pPr>
              <w:spacing w:line="360" w:lineRule="auto"/>
              <w:rPr>
                <w:rFonts w:asciiTheme="minorHAnsi" w:hAnsiTheme="minorHAnsi"/>
                <w:sz w:val="24"/>
                <w:szCs w:val="24"/>
              </w:rPr>
            </w:pPr>
            <w:r w:rsidRPr="00A929CE">
              <w:rPr>
                <w:rFonts w:asciiTheme="minorHAnsi" w:hAnsiTheme="minorHAnsi"/>
                <w:sz w:val="24"/>
                <w:szCs w:val="24"/>
              </w:rPr>
              <w:t>Mme Christine KOENIG</w:t>
            </w:r>
          </w:p>
        </w:tc>
        <w:tc>
          <w:tcPr>
            <w:tcW w:w="3148" w:type="dxa"/>
          </w:tcPr>
          <w:p w:rsidR="00A32148" w:rsidRPr="00A929CE" w:rsidRDefault="00A32148" w:rsidP="00A929CE">
            <w:pPr>
              <w:spacing w:line="360" w:lineRule="auto"/>
              <w:jc w:val="center"/>
              <w:rPr>
                <w:rFonts w:asciiTheme="minorHAnsi" w:hAnsiTheme="minorHAnsi"/>
                <w:sz w:val="24"/>
                <w:szCs w:val="24"/>
              </w:rPr>
            </w:pPr>
            <w:r w:rsidRPr="00A929CE">
              <w:rPr>
                <w:rFonts w:asciiTheme="minorHAnsi" w:hAnsiTheme="minorHAnsi"/>
                <w:sz w:val="24"/>
                <w:szCs w:val="24"/>
              </w:rPr>
              <w:t>Directrice GIZ/PEPA</w:t>
            </w:r>
          </w:p>
        </w:tc>
        <w:tc>
          <w:tcPr>
            <w:tcW w:w="2775" w:type="dxa"/>
            <w:vMerge w:val="restart"/>
          </w:tcPr>
          <w:p w:rsidR="00A32148" w:rsidRPr="00A929CE" w:rsidRDefault="00A32148" w:rsidP="00A929CE">
            <w:pPr>
              <w:spacing w:line="360" w:lineRule="auto"/>
              <w:jc w:val="center"/>
              <w:rPr>
                <w:rFonts w:asciiTheme="minorHAnsi" w:hAnsiTheme="minorHAnsi"/>
                <w:sz w:val="24"/>
                <w:szCs w:val="24"/>
              </w:rPr>
            </w:pPr>
            <w:r w:rsidRPr="00A929CE">
              <w:rPr>
                <w:rFonts w:asciiTheme="minorHAnsi" w:hAnsiTheme="minorHAnsi"/>
                <w:sz w:val="24"/>
                <w:szCs w:val="24"/>
              </w:rPr>
              <w:t>GIZ</w:t>
            </w:r>
          </w:p>
          <w:p w:rsidR="00A32148" w:rsidRPr="00A929CE" w:rsidRDefault="00A32148" w:rsidP="00A929CE">
            <w:pPr>
              <w:spacing w:line="360" w:lineRule="auto"/>
              <w:jc w:val="center"/>
              <w:rPr>
                <w:rFonts w:asciiTheme="minorHAnsi" w:hAnsiTheme="minorHAnsi"/>
                <w:sz w:val="24"/>
                <w:szCs w:val="24"/>
              </w:rPr>
            </w:pPr>
            <w:r w:rsidRPr="00A929CE">
              <w:rPr>
                <w:rFonts w:asciiTheme="minorHAnsi" w:hAnsiTheme="minorHAnsi"/>
                <w:sz w:val="24"/>
                <w:szCs w:val="24"/>
              </w:rPr>
              <w:t>GIZ</w:t>
            </w:r>
          </w:p>
          <w:p w:rsidR="00A32148" w:rsidRPr="00A929CE" w:rsidRDefault="00A32148" w:rsidP="00A929CE">
            <w:pPr>
              <w:spacing w:line="360" w:lineRule="auto"/>
              <w:jc w:val="center"/>
              <w:rPr>
                <w:rFonts w:asciiTheme="minorHAnsi" w:hAnsiTheme="minorHAnsi"/>
                <w:sz w:val="24"/>
                <w:szCs w:val="24"/>
              </w:rPr>
            </w:pPr>
            <w:r w:rsidRPr="00A929CE">
              <w:rPr>
                <w:rFonts w:asciiTheme="minorHAnsi" w:hAnsiTheme="minorHAnsi"/>
                <w:sz w:val="24"/>
                <w:szCs w:val="24"/>
              </w:rPr>
              <w:t>GIZ</w:t>
            </w:r>
          </w:p>
        </w:tc>
      </w:tr>
      <w:tr w:rsidR="00A32148" w:rsidRPr="00A929CE" w:rsidTr="00DE703E">
        <w:tc>
          <w:tcPr>
            <w:tcW w:w="3399" w:type="dxa"/>
          </w:tcPr>
          <w:p w:rsidR="00A32148" w:rsidRPr="00A929CE" w:rsidRDefault="00A32148" w:rsidP="00A929CE">
            <w:pPr>
              <w:spacing w:line="360" w:lineRule="auto"/>
              <w:rPr>
                <w:rFonts w:asciiTheme="minorHAnsi" w:hAnsiTheme="minorHAnsi"/>
                <w:sz w:val="24"/>
                <w:szCs w:val="24"/>
              </w:rPr>
            </w:pPr>
            <w:r w:rsidRPr="00A929CE">
              <w:rPr>
                <w:rFonts w:asciiTheme="minorHAnsi" w:hAnsiTheme="minorHAnsi"/>
                <w:sz w:val="24"/>
                <w:szCs w:val="24"/>
              </w:rPr>
              <w:t>Mr Sissoko Issa</w:t>
            </w:r>
          </w:p>
        </w:tc>
        <w:tc>
          <w:tcPr>
            <w:tcW w:w="3148" w:type="dxa"/>
          </w:tcPr>
          <w:p w:rsidR="00A32148" w:rsidRPr="00A929CE" w:rsidRDefault="00A32148" w:rsidP="00A929CE">
            <w:pPr>
              <w:spacing w:line="360" w:lineRule="auto"/>
              <w:jc w:val="center"/>
              <w:rPr>
                <w:rFonts w:asciiTheme="minorHAnsi" w:hAnsiTheme="minorHAnsi"/>
                <w:sz w:val="24"/>
                <w:szCs w:val="24"/>
              </w:rPr>
            </w:pPr>
            <w:r w:rsidRPr="00A929CE">
              <w:rPr>
                <w:rFonts w:asciiTheme="minorHAnsi" w:hAnsiTheme="minorHAnsi"/>
                <w:sz w:val="24"/>
                <w:szCs w:val="24"/>
              </w:rPr>
              <w:t>GIZ - PEPA</w:t>
            </w:r>
          </w:p>
        </w:tc>
        <w:tc>
          <w:tcPr>
            <w:tcW w:w="2775" w:type="dxa"/>
            <w:vMerge/>
          </w:tcPr>
          <w:p w:rsidR="00A32148" w:rsidRPr="00A929CE" w:rsidRDefault="00A32148" w:rsidP="00A929CE">
            <w:pPr>
              <w:spacing w:line="360" w:lineRule="auto"/>
              <w:jc w:val="center"/>
              <w:rPr>
                <w:rFonts w:asciiTheme="minorHAnsi" w:hAnsiTheme="minorHAnsi"/>
                <w:sz w:val="24"/>
                <w:szCs w:val="24"/>
              </w:rPr>
            </w:pPr>
          </w:p>
        </w:tc>
      </w:tr>
      <w:tr w:rsidR="00A32148" w:rsidRPr="00A929CE" w:rsidTr="00DE703E">
        <w:tc>
          <w:tcPr>
            <w:tcW w:w="3399" w:type="dxa"/>
          </w:tcPr>
          <w:p w:rsidR="00A32148" w:rsidRPr="00A929CE" w:rsidRDefault="00A32148" w:rsidP="00A929CE">
            <w:pPr>
              <w:spacing w:line="360" w:lineRule="auto"/>
              <w:rPr>
                <w:rFonts w:asciiTheme="minorHAnsi" w:hAnsiTheme="minorHAnsi"/>
                <w:sz w:val="24"/>
                <w:szCs w:val="24"/>
              </w:rPr>
            </w:pPr>
            <w:r w:rsidRPr="00A929CE">
              <w:rPr>
                <w:rFonts w:asciiTheme="minorHAnsi" w:hAnsiTheme="minorHAnsi"/>
                <w:sz w:val="24"/>
                <w:szCs w:val="24"/>
              </w:rPr>
              <w:t xml:space="preserve">Mme Félicie KAMBOU-GUIARD </w:t>
            </w:r>
          </w:p>
        </w:tc>
        <w:tc>
          <w:tcPr>
            <w:tcW w:w="3148" w:type="dxa"/>
          </w:tcPr>
          <w:p w:rsidR="00A32148" w:rsidRPr="00A929CE" w:rsidRDefault="00A32148" w:rsidP="00A929CE">
            <w:pPr>
              <w:spacing w:line="360" w:lineRule="auto"/>
              <w:jc w:val="center"/>
              <w:rPr>
                <w:rFonts w:asciiTheme="minorHAnsi" w:hAnsiTheme="minorHAnsi"/>
                <w:sz w:val="24"/>
                <w:szCs w:val="24"/>
              </w:rPr>
            </w:pPr>
            <w:r w:rsidRPr="00A929CE">
              <w:rPr>
                <w:rFonts w:asciiTheme="minorHAnsi" w:hAnsiTheme="minorHAnsi"/>
                <w:sz w:val="24"/>
                <w:szCs w:val="24"/>
              </w:rPr>
              <w:t>Conseillère Technique GIZ/PEPA</w:t>
            </w:r>
          </w:p>
        </w:tc>
        <w:tc>
          <w:tcPr>
            <w:tcW w:w="2775" w:type="dxa"/>
            <w:vMerge/>
          </w:tcPr>
          <w:p w:rsidR="00A32148" w:rsidRPr="00A929CE" w:rsidRDefault="00A32148" w:rsidP="00A929CE">
            <w:pPr>
              <w:spacing w:line="360" w:lineRule="auto"/>
              <w:jc w:val="center"/>
              <w:rPr>
                <w:rFonts w:asciiTheme="minorHAnsi" w:hAnsiTheme="minorHAnsi"/>
                <w:sz w:val="24"/>
                <w:szCs w:val="24"/>
              </w:rPr>
            </w:pPr>
          </w:p>
        </w:tc>
      </w:tr>
      <w:tr w:rsidR="00A32148" w:rsidRPr="00A929CE" w:rsidTr="00DE703E">
        <w:tc>
          <w:tcPr>
            <w:tcW w:w="3399" w:type="dxa"/>
          </w:tcPr>
          <w:p w:rsidR="00A32148" w:rsidRPr="00A929CE" w:rsidRDefault="00A32148" w:rsidP="00A929CE">
            <w:pPr>
              <w:spacing w:line="360" w:lineRule="auto"/>
              <w:rPr>
                <w:rFonts w:asciiTheme="minorHAnsi" w:hAnsiTheme="minorHAnsi"/>
                <w:sz w:val="24"/>
                <w:szCs w:val="24"/>
              </w:rPr>
            </w:pPr>
            <w:r w:rsidRPr="00A929CE">
              <w:rPr>
                <w:rFonts w:asciiTheme="minorHAnsi" w:hAnsiTheme="minorHAnsi"/>
                <w:sz w:val="24"/>
                <w:szCs w:val="24"/>
              </w:rPr>
              <w:t xml:space="preserve">Mr Kalifa KEITA </w:t>
            </w:r>
          </w:p>
        </w:tc>
        <w:tc>
          <w:tcPr>
            <w:tcW w:w="3148" w:type="dxa"/>
          </w:tcPr>
          <w:p w:rsidR="00A32148" w:rsidRPr="00A929CE" w:rsidRDefault="00A32148" w:rsidP="00A929CE">
            <w:pPr>
              <w:spacing w:line="360" w:lineRule="auto"/>
              <w:jc w:val="center"/>
              <w:rPr>
                <w:rFonts w:asciiTheme="minorHAnsi" w:hAnsiTheme="minorHAnsi"/>
                <w:sz w:val="24"/>
                <w:szCs w:val="24"/>
              </w:rPr>
            </w:pPr>
            <w:r w:rsidRPr="00A929CE">
              <w:rPr>
                <w:rFonts w:asciiTheme="minorHAnsi" w:hAnsiTheme="minorHAnsi"/>
                <w:sz w:val="24"/>
                <w:szCs w:val="24"/>
              </w:rPr>
              <w:t>Responsable du Département WASH</w:t>
            </w:r>
          </w:p>
        </w:tc>
        <w:tc>
          <w:tcPr>
            <w:tcW w:w="2775" w:type="dxa"/>
          </w:tcPr>
          <w:p w:rsidR="00A32148" w:rsidRPr="00A929CE" w:rsidRDefault="00A32148" w:rsidP="00A929CE">
            <w:pPr>
              <w:spacing w:line="360" w:lineRule="auto"/>
              <w:jc w:val="center"/>
              <w:rPr>
                <w:rFonts w:asciiTheme="minorHAnsi" w:hAnsiTheme="minorHAnsi"/>
                <w:sz w:val="24"/>
                <w:szCs w:val="24"/>
              </w:rPr>
            </w:pPr>
            <w:r w:rsidRPr="00A929CE">
              <w:rPr>
                <w:rFonts w:asciiTheme="minorHAnsi" w:hAnsiTheme="minorHAnsi"/>
                <w:sz w:val="24"/>
                <w:szCs w:val="24"/>
              </w:rPr>
              <w:t>UNICEF</w:t>
            </w:r>
          </w:p>
        </w:tc>
      </w:tr>
      <w:tr w:rsidR="00A32148" w:rsidRPr="00A929CE" w:rsidTr="00DE703E">
        <w:tc>
          <w:tcPr>
            <w:tcW w:w="3399" w:type="dxa"/>
          </w:tcPr>
          <w:p w:rsidR="00A32148" w:rsidRPr="00A929CE" w:rsidRDefault="00A32148" w:rsidP="00A929CE">
            <w:pPr>
              <w:spacing w:line="360" w:lineRule="auto"/>
              <w:rPr>
                <w:rFonts w:asciiTheme="minorHAnsi" w:hAnsiTheme="minorHAnsi"/>
                <w:sz w:val="24"/>
                <w:szCs w:val="24"/>
              </w:rPr>
            </w:pPr>
            <w:r w:rsidRPr="00A929CE">
              <w:rPr>
                <w:rFonts w:asciiTheme="minorHAnsi" w:hAnsiTheme="minorHAnsi"/>
                <w:sz w:val="24"/>
                <w:szCs w:val="24"/>
              </w:rPr>
              <w:t>Mr Alassane MAIGA</w:t>
            </w:r>
          </w:p>
        </w:tc>
        <w:tc>
          <w:tcPr>
            <w:tcW w:w="3148" w:type="dxa"/>
          </w:tcPr>
          <w:p w:rsidR="00A32148" w:rsidRPr="00A929CE" w:rsidRDefault="00A32148" w:rsidP="00A929CE">
            <w:pPr>
              <w:spacing w:line="360" w:lineRule="auto"/>
              <w:jc w:val="center"/>
              <w:rPr>
                <w:rFonts w:asciiTheme="minorHAnsi" w:hAnsiTheme="minorHAnsi"/>
                <w:sz w:val="24"/>
                <w:szCs w:val="24"/>
              </w:rPr>
            </w:pPr>
            <w:r w:rsidRPr="00A929CE">
              <w:rPr>
                <w:rFonts w:asciiTheme="minorHAnsi" w:hAnsiTheme="minorHAnsi"/>
                <w:sz w:val="24"/>
                <w:szCs w:val="24"/>
              </w:rPr>
              <w:t>PM</w:t>
            </w:r>
          </w:p>
        </w:tc>
        <w:tc>
          <w:tcPr>
            <w:tcW w:w="2775" w:type="dxa"/>
            <w:vMerge w:val="restart"/>
          </w:tcPr>
          <w:p w:rsidR="00A32148" w:rsidRPr="00A929CE" w:rsidRDefault="00A32148" w:rsidP="00A929CE">
            <w:pPr>
              <w:spacing w:line="360" w:lineRule="auto"/>
              <w:jc w:val="center"/>
              <w:rPr>
                <w:rFonts w:asciiTheme="minorHAnsi" w:hAnsiTheme="minorHAnsi"/>
                <w:sz w:val="24"/>
                <w:szCs w:val="24"/>
              </w:rPr>
            </w:pPr>
          </w:p>
          <w:p w:rsidR="00A32148" w:rsidRPr="00A929CE" w:rsidRDefault="00A32148" w:rsidP="00A929CE">
            <w:pPr>
              <w:spacing w:line="360" w:lineRule="auto"/>
              <w:jc w:val="center"/>
              <w:rPr>
                <w:rFonts w:asciiTheme="minorHAnsi" w:hAnsiTheme="minorHAnsi"/>
                <w:sz w:val="24"/>
                <w:szCs w:val="24"/>
              </w:rPr>
            </w:pPr>
          </w:p>
          <w:p w:rsidR="00A32148" w:rsidRPr="00A929CE" w:rsidRDefault="00A32148" w:rsidP="00A929CE">
            <w:pPr>
              <w:spacing w:line="360" w:lineRule="auto"/>
              <w:jc w:val="center"/>
              <w:rPr>
                <w:rFonts w:asciiTheme="minorHAnsi" w:hAnsiTheme="minorHAnsi"/>
                <w:sz w:val="24"/>
                <w:szCs w:val="24"/>
              </w:rPr>
            </w:pPr>
            <w:r w:rsidRPr="00A929CE">
              <w:rPr>
                <w:rFonts w:asciiTheme="minorHAnsi" w:hAnsiTheme="minorHAnsi"/>
                <w:sz w:val="24"/>
                <w:szCs w:val="24"/>
              </w:rPr>
              <w:t>WATERAID</w:t>
            </w:r>
          </w:p>
        </w:tc>
      </w:tr>
      <w:tr w:rsidR="00A32148" w:rsidRPr="00A929CE" w:rsidTr="00DE703E">
        <w:tc>
          <w:tcPr>
            <w:tcW w:w="3399" w:type="dxa"/>
          </w:tcPr>
          <w:p w:rsidR="00A32148" w:rsidRPr="00A929CE" w:rsidRDefault="00A32148" w:rsidP="00A929CE">
            <w:pPr>
              <w:spacing w:line="360" w:lineRule="auto"/>
              <w:rPr>
                <w:rFonts w:asciiTheme="minorHAnsi" w:hAnsiTheme="minorHAnsi"/>
                <w:sz w:val="24"/>
                <w:szCs w:val="24"/>
              </w:rPr>
            </w:pPr>
            <w:r w:rsidRPr="00A929CE">
              <w:rPr>
                <w:rFonts w:asciiTheme="minorHAnsi" w:hAnsiTheme="minorHAnsi"/>
                <w:sz w:val="24"/>
                <w:szCs w:val="24"/>
              </w:rPr>
              <w:t>Mr Alpha Nohoum TRAORE</w:t>
            </w:r>
          </w:p>
        </w:tc>
        <w:tc>
          <w:tcPr>
            <w:tcW w:w="3148" w:type="dxa"/>
          </w:tcPr>
          <w:p w:rsidR="00A32148" w:rsidRPr="00A929CE" w:rsidRDefault="00A32148" w:rsidP="00A929CE">
            <w:pPr>
              <w:spacing w:line="360" w:lineRule="auto"/>
              <w:jc w:val="center"/>
              <w:rPr>
                <w:rFonts w:asciiTheme="minorHAnsi" w:hAnsiTheme="minorHAnsi"/>
                <w:sz w:val="24"/>
                <w:szCs w:val="24"/>
              </w:rPr>
            </w:pPr>
            <w:r w:rsidRPr="00A929CE">
              <w:rPr>
                <w:rFonts w:asciiTheme="minorHAnsi" w:hAnsiTheme="minorHAnsi"/>
                <w:sz w:val="24"/>
                <w:szCs w:val="24"/>
              </w:rPr>
              <w:t>PM</w:t>
            </w:r>
          </w:p>
        </w:tc>
        <w:tc>
          <w:tcPr>
            <w:tcW w:w="2775" w:type="dxa"/>
            <w:vMerge/>
          </w:tcPr>
          <w:p w:rsidR="00A32148" w:rsidRPr="00A929CE" w:rsidRDefault="00A32148" w:rsidP="00A929CE">
            <w:pPr>
              <w:spacing w:line="360" w:lineRule="auto"/>
              <w:jc w:val="center"/>
              <w:rPr>
                <w:rFonts w:asciiTheme="minorHAnsi" w:hAnsiTheme="minorHAnsi"/>
                <w:sz w:val="24"/>
                <w:szCs w:val="24"/>
              </w:rPr>
            </w:pPr>
          </w:p>
        </w:tc>
      </w:tr>
      <w:tr w:rsidR="00A32148" w:rsidRPr="00A929CE" w:rsidTr="00DE703E">
        <w:tc>
          <w:tcPr>
            <w:tcW w:w="3399" w:type="dxa"/>
          </w:tcPr>
          <w:p w:rsidR="00A32148" w:rsidRPr="00A929CE" w:rsidRDefault="00A32148" w:rsidP="00A929CE">
            <w:pPr>
              <w:spacing w:line="360" w:lineRule="auto"/>
              <w:rPr>
                <w:rFonts w:asciiTheme="minorHAnsi" w:hAnsiTheme="minorHAnsi"/>
                <w:sz w:val="24"/>
                <w:szCs w:val="24"/>
              </w:rPr>
            </w:pPr>
            <w:r w:rsidRPr="00A929CE">
              <w:rPr>
                <w:rFonts w:asciiTheme="minorHAnsi" w:hAnsiTheme="minorHAnsi"/>
                <w:sz w:val="24"/>
                <w:szCs w:val="24"/>
              </w:rPr>
              <w:t>Mr Aly SOW</w:t>
            </w:r>
          </w:p>
        </w:tc>
        <w:tc>
          <w:tcPr>
            <w:tcW w:w="3148" w:type="dxa"/>
          </w:tcPr>
          <w:p w:rsidR="00A32148" w:rsidRPr="00A929CE" w:rsidRDefault="00A32148" w:rsidP="00A929CE">
            <w:pPr>
              <w:spacing w:line="360" w:lineRule="auto"/>
              <w:jc w:val="center"/>
              <w:rPr>
                <w:rFonts w:asciiTheme="minorHAnsi" w:hAnsiTheme="minorHAnsi"/>
                <w:sz w:val="24"/>
                <w:szCs w:val="24"/>
              </w:rPr>
            </w:pPr>
            <w:r w:rsidRPr="00A929CE">
              <w:rPr>
                <w:rFonts w:asciiTheme="minorHAnsi" w:hAnsiTheme="minorHAnsi"/>
                <w:sz w:val="24"/>
                <w:szCs w:val="24"/>
              </w:rPr>
              <w:t>PM</w:t>
            </w:r>
          </w:p>
        </w:tc>
        <w:tc>
          <w:tcPr>
            <w:tcW w:w="2775" w:type="dxa"/>
            <w:vMerge/>
          </w:tcPr>
          <w:p w:rsidR="00A32148" w:rsidRPr="00A929CE" w:rsidRDefault="00A32148" w:rsidP="00A929CE">
            <w:pPr>
              <w:spacing w:line="360" w:lineRule="auto"/>
              <w:jc w:val="center"/>
              <w:rPr>
                <w:rFonts w:asciiTheme="minorHAnsi" w:hAnsiTheme="minorHAnsi"/>
                <w:sz w:val="24"/>
                <w:szCs w:val="24"/>
              </w:rPr>
            </w:pPr>
          </w:p>
        </w:tc>
      </w:tr>
      <w:tr w:rsidR="00A32148" w:rsidRPr="00A929CE" w:rsidTr="00DE703E">
        <w:tc>
          <w:tcPr>
            <w:tcW w:w="3399" w:type="dxa"/>
          </w:tcPr>
          <w:p w:rsidR="00A32148" w:rsidRPr="00A929CE" w:rsidRDefault="00A32148" w:rsidP="00A929CE">
            <w:pPr>
              <w:spacing w:line="360" w:lineRule="auto"/>
              <w:rPr>
                <w:rFonts w:asciiTheme="minorHAnsi" w:hAnsiTheme="minorHAnsi"/>
                <w:sz w:val="24"/>
                <w:szCs w:val="24"/>
              </w:rPr>
            </w:pPr>
            <w:r w:rsidRPr="00A929CE">
              <w:rPr>
                <w:rFonts w:asciiTheme="minorHAnsi" w:hAnsiTheme="minorHAnsi"/>
                <w:sz w:val="24"/>
                <w:szCs w:val="24"/>
              </w:rPr>
              <w:t>Mr Moussa Alou TRAORE</w:t>
            </w:r>
          </w:p>
        </w:tc>
        <w:tc>
          <w:tcPr>
            <w:tcW w:w="3148" w:type="dxa"/>
          </w:tcPr>
          <w:p w:rsidR="00A32148" w:rsidRPr="00A929CE" w:rsidRDefault="00A32148" w:rsidP="00A929CE">
            <w:pPr>
              <w:spacing w:line="360" w:lineRule="auto"/>
              <w:jc w:val="center"/>
              <w:rPr>
                <w:rFonts w:asciiTheme="minorHAnsi" w:hAnsiTheme="minorHAnsi"/>
                <w:sz w:val="24"/>
                <w:szCs w:val="24"/>
              </w:rPr>
            </w:pPr>
            <w:r w:rsidRPr="00A929CE">
              <w:rPr>
                <w:rFonts w:asciiTheme="minorHAnsi" w:hAnsiTheme="minorHAnsi"/>
                <w:sz w:val="24"/>
                <w:szCs w:val="24"/>
              </w:rPr>
              <w:t>PM</w:t>
            </w:r>
          </w:p>
        </w:tc>
        <w:tc>
          <w:tcPr>
            <w:tcW w:w="2775" w:type="dxa"/>
            <w:vMerge/>
          </w:tcPr>
          <w:p w:rsidR="00A32148" w:rsidRPr="00A929CE" w:rsidRDefault="00A32148" w:rsidP="00A929CE">
            <w:pPr>
              <w:spacing w:line="360" w:lineRule="auto"/>
              <w:jc w:val="center"/>
              <w:rPr>
                <w:rFonts w:asciiTheme="minorHAnsi" w:hAnsiTheme="minorHAnsi"/>
                <w:sz w:val="24"/>
                <w:szCs w:val="24"/>
              </w:rPr>
            </w:pPr>
          </w:p>
        </w:tc>
      </w:tr>
      <w:tr w:rsidR="00A32148" w:rsidRPr="00A929CE" w:rsidTr="00DE703E">
        <w:tc>
          <w:tcPr>
            <w:tcW w:w="3399" w:type="dxa"/>
          </w:tcPr>
          <w:p w:rsidR="00A32148" w:rsidRPr="00A929CE" w:rsidRDefault="00A32148" w:rsidP="00A929CE">
            <w:pPr>
              <w:spacing w:line="360" w:lineRule="auto"/>
              <w:rPr>
                <w:rFonts w:asciiTheme="minorHAnsi" w:hAnsiTheme="minorHAnsi"/>
                <w:sz w:val="24"/>
                <w:szCs w:val="24"/>
              </w:rPr>
            </w:pPr>
            <w:r w:rsidRPr="00A929CE">
              <w:rPr>
                <w:rFonts w:asciiTheme="minorHAnsi" w:hAnsiTheme="minorHAnsi"/>
                <w:sz w:val="24"/>
                <w:szCs w:val="24"/>
              </w:rPr>
              <w:t>Mr Fousseny TRAORE</w:t>
            </w:r>
          </w:p>
        </w:tc>
        <w:tc>
          <w:tcPr>
            <w:tcW w:w="3148" w:type="dxa"/>
          </w:tcPr>
          <w:p w:rsidR="00A32148" w:rsidRPr="00A929CE" w:rsidRDefault="00A32148" w:rsidP="00A929CE">
            <w:pPr>
              <w:spacing w:line="360" w:lineRule="auto"/>
              <w:jc w:val="center"/>
              <w:rPr>
                <w:rFonts w:asciiTheme="minorHAnsi" w:hAnsiTheme="minorHAnsi"/>
                <w:sz w:val="24"/>
                <w:szCs w:val="24"/>
              </w:rPr>
            </w:pPr>
            <w:r w:rsidRPr="00A929CE">
              <w:rPr>
                <w:rFonts w:asciiTheme="minorHAnsi" w:hAnsiTheme="minorHAnsi"/>
                <w:sz w:val="24"/>
                <w:szCs w:val="24"/>
              </w:rPr>
              <w:t>PM</w:t>
            </w:r>
          </w:p>
        </w:tc>
        <w:tc>
          <w:tcPr>
            <w:tcW w:w="2775" w:type="dxa"/>
            <w:vMerge/>
          </w:tcPr>
          <w:p w:rsidR="00A32148" w:rsidRPr="00A929CE" w:rsidRDefault="00A32148" w:rsidP="00A929CE">
            <w:pPr>
              <w:spacing w:line="360" w:lineRule="auto"/>
              <w:jc w:val="center"/>
              <w:rPr>
                <w:rFonts w:asciiTheme="minorHAnsi" w:hAnsiTheme="minorHAnsi"/>
                <w:sz w:val="24"/>
                <w:szCs w:val="24"/>
              </w:rPr>
            </w:pPr>
          </w:p>
        </w:tc>
      </w:tr>
      <w:tr w:rsidR="00A32148" w:rsidRPr="00A929CE" w:rsidTr="00DE703E">
        <w:tc>
          <w:tcPr>
            <w:tcW w:w="9322" w:type="dxa"/>
            <w:gridSpan w:val="3"/>
          </w:tcPr>
          <w:p w:rsidR="00A32148" w:rsidRPr="00A929CE" w:rsidRDefault="00A32148" w:rsidP="00A929CE">
            <w:pPr>
              <w:spacing w:line="360" w:lineRule="auto"/>
              <w:jc w:val="center"/>
              <w:rPr>
                <w:rFonts w:asciiTheme="minorHAnsi" w:hAnsiTheme="minorHAnsi"/>
                <w:sz w:val="24"/>
                <w:szCs w:val="24"/>
              </w:rPr>
            </w:pPr>
            <w:r w:rsidRPr="00A929CE">
              <w:rPr>
                <w:rFonts w:asciiTheme="minorHAnsi" w:hAnsiTheme="minorHAnsi"/>
                <w:b/>
                <w:sz w:val="24"/>
                <w:szCs w:val="24"/>
              </w:rPr>
              <w:t>Séances de travail</w:t>
            </w:r>
          </w:p>
        </w:tc>
      </w:tr>
      <w:tr w:rsidR="00A32148" w:rsidRPr="00A929CE" w:rsidTr="00DE703E">
        <w:tc>
          <w:tcPr>
            <w:tcW w:w="9322" w:type="dxa"/>
            <w:gridSpan w:val="3"/>
          </w:tcPr>
          <w:p w:rsidR="00A32148" w:rsidRPr="00A929CE" w:rsidRDefault="00A32148" w:rsidP="00A929CE">
            <w:pPr>
              <w:spacing w:line="360" w:lineRule="auto"/>
              <w:jc w:val="both"/>
              <w:rPr>
                <w:rFonts w:asciiTheme="minorHAnsi" w:hAnsiTheme="minorHAnsi"/>
                <w:sz w:val="24"/>
                <w:szCs w:val="24"/>
              </w:rPr>
            </w:pPr>
            <w:r w:rsidRPr="00A929CE">
              <w:rPr>
                <w:rFonts w:asciiTheme="minorHAnsi" w:hAnsiTheme="minorHAnsi"/>
                <w:sz w:val="24"/>
                <w:szCs w:val="24"/>
              </w:rPr>
              <w:t>Séance de travail avec le Groupe thématique « Transfert de compétences »</w:t>
            </w:r>
          </w:p>
        </w:tc>
      </w:tr>
      <w:tr w:rsidR="00A32148" w:rsidRPr="00A929CE" w:rsidTr="00DE703E">
        <w:tc>
          <w:tcPr>
            <w:tcW w:w="9322" w:type="dxa"/>
            <w:gridSpan w:val="3"/>
          </w:tcPr>
          <w:p w:rsidR="00A32148" w:rsidRPr="00A929CE" w:rsidRDefault="00A32148" w:rsidP="00A929CE">
            <w:pPr>
              <w:spacing w:line="360" w:lineRule="auto"/>
              <w:jc w:val="both"/>
              <w:rPr>
                <w:rFonts w:asciiTheme="minorHAnsi" w:hAnsiTheme="minorHAnsi"/>
                <w:sz w:val="24"/>
                <w:szCs w:val="24"/>
              </w:rPr>
            </w:pPr>
            <w:r w:rsidRPr="00A929CE">
              <w:rPr>
                <w:rFonts w:asciiTheme="minorHAnsi" w:hAnsiTheme="minorHAnsi"/>
                <w:sz w:val="24"/>
                <w:szCs w:val="24"/>
              </w:rPr>
              <w:t>Séance de travail avec le Groupe thématique « Gestion des déchets spéciaux »</w:t>
            </w:r>
          </w:p>
        </w:tc>
      </w:tr>
      <w:tr w:rsidR="00A32148" w:rsidRPr="00A929CE" w:rsidTr="00DE703E">
        <w:tc>
          <w:tcPr>
            <w:tcW w:w="9322" w:type="dxa"/>
            <w:gridSpan w:val="3"/>
          </w:tcPr>
          <w:p w:rsidR="00A32148" w:rsidRPr="00A929CE" w:rsidRDefault="00A32148" w:rsidP="00A929CE">
            <w:pPr>
              <w:spacing w:line="360" w:lineRule="auto"/>
              <w:jc w:val="both"/>
              <w:rPr>
                <w:rFonts w:asciiTheme="minorHAnsi" w:hAnsiTheme="minorHAnsi"/>
                <w:sz w:val="24"/>
                <w:szCs w:val="24"/>
              </w:rPr>
            </w:pPr>
            <w:r w:rsidRPr="00A929CE">
              <w:rPr>
                <w:rFonts w:asciiTheme="minorHAnsi" w:hAnsiTheme="minorHAnsi"/>
                <w:sz w:val="24"/>
                <w:szCs w:val="24"/>
              </w:rPr>
              <w:t>Séance de travail avec le Groupe thématique « Gestion des eaux pluviales »</w:t>
            </w:r>
          </w:p>
        </w:tc>
      </w:tr>
      <w:tr w:rsidR="00A32148" w:rsidRPr="00A929CE" w:rsidTr="00DE703E">
        <w:tc>
          <w:tcPr>
            <w:tcW w:w="9322" w:type="dxa"/>
            <w:gridSpan w:val="3"/>
          </w:tcPr>
          <w:p w:rsidR="00A32148" w:rsidRPr="00A929CE" w:rsidRDefault="00A32148" w:rsidP="00A929CE">
            <w:pPr>
              <w:spacing w:line="360" w:lineRule="auto"/>
              <w:jc w:val="both"/>
              <w:rPr>
                <w:rFonts w:asciiTheme="minorHAnsi" w:hAnsiTheme="minorHAnsi"/>
                <w:sz w:val="24"/>
                <w:szCs w:val="24"/>
              </w:rPr>
            </w:pPr>
            <w:r w:rsidRPr="00A929CE">
              <w:rPr>
                <w:rFonts w:asciiTheme="minorHAnsi" w:hAnsiTheme="minorHAnsi"/>
                <w:sz w:val="24"/>
                <w:szCs w:val="24"/>
              </w:rPr>
              <w:t>Séance de travail avec le Staff de la DNACPN</w:t>
            </w:r>
          </w:p>
        </w:tc>
      </w:tr>
    </w:tbl>
    <w:p w:rsidR="00A32148" w:rsidRPr="00A929CE" w:rsidRDefault="00A32148" w:rsidP="00A929CE">
      <w:pPr>
        <w:spacing w:line="360" w:lineRule="auto"/>
        <w:rPr>
          <w:rFonts w:asciiTheme="minorHAnsi" w:hAnsiTheme="minorHAnsi"/>
          <w:b/>
          <w:sz w:val="24"/>
          <w:szCs w:val="24"/>
        </w:rPr>
      </w:pPr>
    </w:p>
    <w:p w:rsidR="00A32148" w:rsidRPr="00B8772C" w:rsidRDefault="00A32148" w:rsidP="00B8772C">
      <w:pPr>
        <w:spacing w:line="360" w:lineRule="auto"/>
        <w:jc w:val="both"/>
        <w:rPr>
          <w:rFonts w:asciiTheme="minorHAnsi" w:hAnsiTheme="minorHAnsi" w:cstheme="minorHAnsi"/>
          <w:sz w:val="24"/>
          <w:szCs w:val="24"/>
        </w:rPr>
      </w:pPr>
    </w:p>
    <w:sectPr w:rsidR="00A32148" w:rsidRPr="00B8772C" w:rsidSect="00672C7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441B8" w:rsidRDefault="005441B8" w:rsidP="004C04AB">
      <w:r>
        <w:separator/>
      </w:r>
    </w:p>
  </w:endnote>
  <w:endnote w:type="continuationSeparator" w:id="0">
    <w:p w:rsidR="005441B8" w:rsidRDefault="005441B8" w:rsidP="004C04AB">
      <w:r>
        <w:continuationSeparator/>
      </w:r>
    </w:p>
  </w:endnote>
  <w:endnote w:type="continuationNotice" w:id="1">
    <w:p w:rsidR="005441B8" w:rsidRDefault="005441B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w Cen MT">
    <w:panose1 w:val="020B0602020104020603"/>
    <w:charset w:val="00"/>
    <w:family w:val="swiss"/>
    <w:pitch w:val="variable"/>
    <w:sig w:usb0="00000007" w:usb1="00000000" w:usb2="00000000" w:usb3="00000000" w:csb0="00000003"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Tw Cen MT Condensed">
    <w:panose1 w:val="020B0606020104020203"/>
    <w:charset w:val="00"/>
    <w:family w:val="swiss"/>
    <w:pitch w:val="variable"/>
    <w:sig w:usb0="00000007" w:usb1="00000000" w:usb2="00000000" w:usb3="00000000" w:csb0="00000003" w:csb1="00000000"/>
  </w:font>
  <w:font w:name="Segoe UI">
    <w:panose1 w:val="020B0502040204020203"/>
    <w:charset w:val="00"/>
    <w:family w:val="swiss"/>
    <w:pitch w:val="variable"/>
    <w:sig w:usb0="E4002EFF" w:usb1="C000E47F" w:usb2="00000009" w:usb3="00000000" w:csb0="000001FF" w:csb1="00000000"/>
  </w:font>
  <w:font w:name="Open Sans">
    <w:altName w:val="Tahoma"/>
    <w:charset w:val="00"/>
    <w:family w:val="swiss"/>
    <w:pitch w:val="variable"/>
    <w:sig w:usb0="E00002EF" w:usb1="4000205B" w:usb2="00000028" w:usb3="00000000" w:csb0="0000019F" w:csb1="00000000"/>
  </w:font>
  <w:font w:name="MBembo--Identity-H">
    <w:altName w:val="Arial Unicode MS"/>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jc w:val="right"/>
      <w:tblBorders>
        <w:top w:val="single" w:sz="4" w:space="0" w:color="auto"/>
      </w:tblBorders>
      <w:tblCellMar>
        <w:top w:w="115" w:type="dxa"/>
        <w:left w:w="115" w:type="dxa"/>
        <w:bottom w:w="115" w:type="dxa"/>
        <w:right w:w="115" w:type="dxa"/>
      </w:tblCellMar>
      <w:tblLook w:val="04A0" w:firstRow="1" w:lastRow="0" w:firstColumn="1" w:lastColumn="0" w:noHBand="0" w:noVBand="1"/>
    </w:tblPr>
    <w:tblGrid>
      <w:gridCol w:w="8835"/>
      <w:gridCol w:w="465"/>
    </w:tblGrid>
    <w:tr w:rsidR="001F0065" w:rsidTr="001F0065">
      <w:trPr>
        <w:jc w:val="right"/>
      </w:trPr>
      <w:tc>
        <w:tcPr>
          <w:tcW w:w="4795" w:type="dxa"/>
          <w:vAlign w:val="center"/>
        </w:tcPr>
        <w:p w:rsidR="001F0065" w:rsidRPr="00030914" w:rsidRDefault="001F0065" w:rsidP="00E66EBD">
          <w:pPr>
            <w:pStyle w:val="En-tte"/>
            <w:rPr>
              <w:caps/>
              <w:color w:val="000000" w:themeColor="text1"/>
              <w:sz w:val="18"/>
              <w:szCs w:val="18"/>
            </w:rPr>
          </w:pPr>
          <w:r w:rsidRPr="00030914">
            <w:rPr>
              <w:caps/>
              <w:color w:val="000000" w:themeColor="text1"/>
              <w:sz w:val="18"/>
              <w:szCs w:val="18"/>
            </w:rPr>
            <w:t xml:space="preserve">Rapport dIAGNOSTIC DE LA POLITIQUE NATIONALE DE L’ASSAINISSEMENT DU MALI </w:t>
          </w:r>
          <w:r>
            <w:rPr>
              <w:caps/>
              <w:color w:val="000000" w:themeColor="text1"/>
              <w:sz w:val="18"/>
              <w:szCs w:val="18"/>
            </w:rPr>
            <w:t>(PNA MALI)</w:t>
          </w:r>
        </w:p>
      </w:tc>
      <w:tc>
        <w:tcPr>
          <w:tcW w:w="250" w:type="pct"/>
          <w:shd w:val="clear" w:color="auto" w:fill="1481AB" w:themeFill="accent1" w:themeFillShade="BF"/>
          <w:vAlign w:val="center"/>
        </w:tcPr>
        <w:p w:rsidR="001F0065" w:rsidRDefault="001F0065" w:rsidP="00E66EBD">
          <w:pPr>
            <w:pStyle w:val="Pieddepage"/>
            <w:jc w:val="center"/>
            <w:rPr>
              <w:color w:val="FFFFFF" w:themeColor="background1"/>
            </w:rPr>
          </w:pPr>
          <w:r>
            <w:rPr>
              <w:color w:val="FFFFFF" w:themeColor="background1"/>
            </w:rPr>
            <w:fldChar w:fldCharType="begin"/>
          </w:r>
          <w:r>
            <w:rPr>
              <w:color w:val="FFFFFF" w:themeColor="background1"/>
            </w:rPr>
            <w:instrText xml:space="preserve"> PAGE   \* MERGEFORMAT </w:instrText>
          </w:r>
          <w:r>
            <w:rPr>
              <w:color w:val="FFFFFF" w:themeColor="background1"/>
            </w:rPr>
            <w:fldChar w:fldCharType="separate"/>
          </w:r>
          <w:r>
            <w:rPr>
              <w:noProof/>
              <w:color w:val="FFFFFF" w:themeColor="background1"/>
            </w:rPr>
            <w:t>2</w:t>
          </w:r>
          <w:r>
            <w:rPr>
              <w:noProof/>
              <w:color w:val="FFFFFF" w:themeColor="background1"/>
            </w:rPr>
            <w:fldChar w:fldCharType="end"/>
          </w:r>
        </w:p>
      </w:tc>
    </w:tr>
  </w:tbl>
  <w:p w:rsidR="001F0065" w:rsidRDefault="001F0065">
    <w:pPr>
      <w:pStyle w:val="Pieddepag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jc w:val="right"/>
      <w:tblBorders>
        <w:top w:val="single" w:sz="4" w:space="0" w:color="auto"/>
      </w:tblBorders>
      <w:tblCellMar>
        <w:top w:w="115" w:type="dxa"/>
        <w:left w:w="115" w:type="dxa"/>
        <w:bottom w:w="115" w:type="dxa"/>
        <w:right w:w="115" w:type="dxa"/>
      </w:tblCellMar>
      <w:tblLook w:val="04A0" w:firstRow="1" w:lastRow="0" w:firstColumn="1" w:lastColumn="0" w:noHBand="0" w:noVBand="1"/>
    </w:tblPr>
    <w:tblGrid>
      <w:gridCol w:w="8835"/>
      <w:gridCol w:w="465"/>
    </w:tblGrid>
    <w:tr w:rsidR="001F0065" w:rsidRPr="00E77D1F" w:rsidTr="00DE703E">
      <w:trPr>
        <w:jc w:val="right"/>
      </w:trPr>
      <w:tc>
        <w:tcPr>
          <w:tcW w:w="4795" w:type="dxa"/>
          <w:vAlign w:val="center"/>
        </w:tcPr>
        <w:p w:rsidR="001F0065" w:rsidRPr="00E77D1F" w:rsidRDefault="001F0065" w:rsidP="00E77D1F">
          <w:pPr>
            <w:pStyle w:val="En-tte"/>
            <w:rPr>
              <w:caps/>
              <w:color w:val="000000" w:themeColor="text1"/>
              <w:sz w:val="12"/>
              <w:szCs w:val="12"/>
              <w:u w:val="single"/>
            </w:rPr>
          </w:pPr>
          <w:r w:rsidRPr="00E77D1F">
            <w:rPr>
              <w:color w:val="000000" w:themeColor="text1"/>
              <w:sz w:val="12"/>
              <w:szCs w:val="12"/>
              <w:u w:val="single"/>
            </w:rPr>
            <w:t>Rapport Diagnostic du Sous secteur de l’Assainissement et évaluation de la mise en œuvre de la Politique Nationale de l’Assainissement u Mali (PNA Mali)</w:t>
          </w:r>
        </w:p>
      </w:tc>
      <w:tc>
        <w:tcPr>
          <w:tcW w:w="250" w:type="pct"/>
          <w:shd w:val="clear" w:color="auto" w:fill="1481AB" w:themeFill="accent1" w:themeFillShade="BF"/>
          <w:vAlign w:val="center"/>
        </w:tcPr>
        <w:p w:rsidR="001F0065" w:rsidRPr="00E77D1F" w:rsidRDefault="001F0065" w:rsidP="00E66EBD">
          <w:pPr>
            <w:pStyle w:val="Pieddepage"/>
            <w:jc w:val="center"/>
            <w:rPr>
              <w:color w:val="FFFFFF" w:themeColor="background1"/>
              <w:u w:val="single"/>
            </w:rPr>
          </w:pPr>
          <w:r w:rsidRPr="00E77D1F">
            <w:rPr>
              <w:color w:val="FFFFFF" w:themeColor="background1"/>
              <w:u w:val="single"/>
            </w:rPr>
            <w:fldChar w:fldCharType="begin"/>
          </w:r>
          <w:r w:rsidRPr="00E77D1F">
            <w:rPr>
              <w:color w:val="FFFFFF" w:themeColor="background1"/>
              <w:u w:val="single"/>
            </w:rPr>
            <w:instrText xml:space="preserve"> PAGE   \* MERGEFORMAT </w:instrText>
          </w:r>
          <w:r w:rsidRPr="00E77D1F">
            <w:rPr>
              <w:color w:val="FFFFFF" w:themeColor="background1"/>
              <w:u w:val="single"/>
            </w:rPr>
            <w:fldChar w:fldCharType="separate"/>
          </w:r>
          <w:r w:rsidR="00F14EAD">
            <w:rPr>
              <w:noProof/>
              <w:color w:val="FFFFFF" w:themeColor="background1"/>
              <w:u w:val="single"/>
            </w:rPr>
            <w:t>2</w:t>
          </w:r>
          <w:r w:rsidRPr="00E77D1F">
            <w:rPr>
              <w:noProof/>
              <w:color w:val="FFFFFF" w:themeColor="background1"/>
              <w:u w:val="single"/>
            </w:rPr>
            <w:fldChar w:fldCharType="end"/>
          </w:r>
        </w:p>
      </w:tc>
    </w:tr>
  </w:tbl>
  <w:p w:rsidR="001F0065" w:rsidRDefault="001F0065">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441B8" w:rsidRDefault="005441B8" w:rsidP="004C04AB">
      <w:r>
        <w:separator/>
      </w:r>
    </w:p>
  </w:footnote>
  <w:footnote w:type="continuationSeparator" w:id="0">
    <w:p w:rsidR="005441B8" w:rsidRDefault="005441B8" w:rsidP="004C04AB">
      <w:r>
        <w:continuationSeparator/>
      </w:r>
    </w:p>
  </w:footnote>
  <w:footnote w:type="continuationNotice" w:id="1">
    <w:p w:rsidR="005441B8" w:rsidRDefault="005441B8"/>
  </w:footnote>
  <w:footnote w:id="2">
    <w:p w:rsidR="001F0065" w:rsidRDefault="001F0065" w:rsidP="00EC66DA">
      <w:pPr>
        <w:pStyle w:val="Notedebasdepage"/>
      </w:pPr>
      <w:r>
        <w:rPr>
          <w:rStyle w:val="Appelnotedebasdep"/>
        </w:rPr>
        <w:footnoteRef/>
      </w:r>
      <w:r>
        <w:t xml:space="preserve"> PNA, page 37</w:t>
      </w:r>
    </w:p>
  </w:footnote>
  <w:footnote w:id="3">
    <w:p w:rsidR="001F0065" w:rsidRDefault="001F0065" w:rsidP="00EC66DA">
      <w:pPr>
        <w:pStyle w:val="Notedebasdepage"/>
      </w:pPr>
      <w:r>
        <w:rPr>
          <w:rStyle w:val="Appelnotedebasdep"/>
        </w:rPr>
        <w:footnoteRef/>
      </w:r>
      <w:r>
        <w:t xml:space="preserve"> PNA, page 37</w:t>
      </w:r>
    </w:p>
  </w:footnote>
  <w:footnote w:id="4">
    <w:p w:rsidR="001F0065" w:rsidRDefault="001F0065" w:rsidP="00EC66DA">
      <w:pPr>
        <w:pStyle w:val="Notedebasdepage"/>
      </w:pPr>
      <w:r>
        <w:rPr>
          <w:rStyle w:val="Appelnotedebasdep"/>
        </w:rPr>
        <w:footnoteRef/>
      </w:r>
      <w:r>
        <w:t xml:space="preserve"> PNA, page 37</w:t>
      </w:r>
    </w:p>
  </w:footnote>
  <w:footnote w:id="5">
    <w:p w:rsidR="001F0065" w:rsidRDefault="001F0065" w:rsidP="00EC66DA">
      <w:pPr>
        <w:pStyle w:val="Notedebasdepage"/>
      </w:pPr>
      <w:r>
        <w:rPr>
          <w:rStyle w:val="Appelnotedebasdep"/>
        </w:rPr>
        <w:footnoteRef/>
      </w:r>
      <w:r>
        <w:t xml:space="preserve"> PNA, page</w:t>
      </w:r>
      <w:r w:rsidRPr="008C22F4">
        <w:t>37</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4756AE"/>
    <w:multiLevelType w:val="hybridMultilevel"/>
    <w:tmpl w:val="25602F3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6452D4F"/>
    <w:multiLevelType w:val="hybridMultilevel"/>
    <w:tmpl w:val="C49C3D38"/>
    <w:lvl w:ilvl="0" w:tplc="12F8F15E">
      <w:start w:val="1"/>
      <w:numFmt w:val="bullet"/>
      <w:lvlText w:val=""/>
      <w:lvlJc w:val="left"/>
      <w:pPr>
        <w:tabs>
          <w:tab w:val="num" w:pos="720"/>
        </w:tabs>
        <w:ind w:left="720" w:hanging="360"/>
      </w:pPr>
      <w:rPr>
        <w:rFonts w:ascii="Wingdings" w:hAnsi="Wingdings" w:hint="default"/>
      </w:rPr>
    </w:lvl>
    <w:lvl w:ilvl="1" w:tplc="296EBB26" w:tentative="1">
      <w:start w:val="1"/>
      <w:numFmt w:val="bullet"/>
      <w:lvlText w:val=""/>
      <w:lvlJc w:val="left"/>
      <w:pPr>
        <w:tabs>
          <w:tab w:val="num" w:pos="1440"/>
        </w:tabs>
        <w:ind w:left="1440" w:hanging="360"/>
      </w:pPr>
      <w:rPr>
        <w:rFonts w:ascii="Wingdings" w:hAnsi="Wingdings" w:hint="default"/>
      </w:rPr>
    </w:lvl>
    <w:lvl w:ilvl="2" w:tplc="3000F1C2" w:tentative="1">
      <w:start w:val="1"/>
      <w:numFmt w:val="bullet"/>
      <w:lvlText w:val=""/>
      <w:lvlJc w:val="left"/>
      <w:pPr>
        <w:tabs>
          <w:tab w:val="num" w:pos="2160"/>
        </w:tabs>
        <w:ind w:left="2160" w:hanging="360"/>
      </w:pPr>
      <w:rPr>
        <w:rFonts w:ascii="Wingdings" w:hAnsi="Wingdings" w:hint="default"/>
      </w:rPr>
    </w:lvl>
    <w:lvl w:ilvl="3" w:tplc="2500E384" w:tentative="1">
      <w:start w:val="1"/>
      <w:numFmt w:val="bullet"/>
      <w:lvlText w:val=""/>
      <w:lvlJc w:val="left"/>
      <w:pPr>
        <w:tabs>
          <w:tab w:val="num" w:pos="2880"/>
        </w:tabs>
        <w:ind w:left="2880" w:hanging="360"/>
      </w:pPr>
      <w:rPr>
        <w:rFonts w:ascii="Wingdings" w:hAnsi="Wingdings" w:hint="default"/>
      </w:rPr>
    </w:lvl>
    <w:lvl w:ilvl="4" w:tplc="BAF005CA" w:tentative="1">
      <w:start w:val="1"/>
      <w:numFmt w:val="bullet"/>
      <w:lvlText w:val=""/>
      <w:lvlJc w:val="left"/>
      <w:pPr>
        <w:tabs>
          <w:tab w:val="num" w:pos="3600"/>
        </w:tabs>
        <w:ind w:left="3600" w:hanging="360"/>
      </w:pPr>
      <w:rPr>
        <w:rFonts w:ascii="Wingdings" w:hAnsi="Wingdings" w:hint="default"/>
      </w:rPr>
    </w:lvl>
    <w:lvl w:ilvl="5" w:tplc="7C6223D8" w:tentative="1">
      <w:start w:val="1"/>
      <w:numFmt w:val="bullet"/>
      <w:lvlText w:val=""/>
      <w:lvlJc w:val="left"/>
      <w:pPr>
        <w:tabs>
          <w:tab w:val="num" w:pos="4320"/>
        </w:tabs>
        <w:ind w:left="4320" w:hanging="360"/>
      </w:pPr>
      <w:rPr>
        <w:rFonts w:ascii="Wingdings" w:hAnsi="Wingdings" w:hint="default"/>
      </w:rPr>
    </w:lvl>
    <w:lvl w:ilvl="6" w:tplc="746E03C2" w:tentative="1">
      <w:start w:val="1"/>
      <w:numFmt w:val="bullet"/>
      <w:lvlText w:val=""/>
      <w:lvlJc w:val="left"/>
      <w:pPr>
        <w:tabs>
          <w:tab w:val="num" w:pos="5040"/>
        </w:tabs>
        <w:ind w:left="5040" w:hanging="360"/>
      </w:pPr>
      <w:rPr>
        <w:rFonts w:ascii="Wingdings" w:hAnsi="Wingdings" w:hint="default"/>
      </w:rPr>
    </w:lvl>
    <w:lvl w:ilvl="7" w:tplc="6980E332" w:tentative="1">
      <w:start w:val="1"/>
      <w:numFmt w:val="bullet"/>
      <w:lvlText w:val=""/>
      <w:lvlJc w:val="left"/>
      <w:pPr>
        <w:tabs>
          <w:tab w:val="num" w:pos="5760"/>
        </w:tabs>
        <w:ind w:left="5760" w:hanging="360"/>
      </w:pPr>
      <w:rPr>
        <w:rFonts w:ascii="Wingdings" w:hAnsi="Wingdings" w:hint="default"/>
      </w:rPr>
    </w:lvl>
    <w:lvl w:ilvl="8" w:tplc="B7E6AB0C"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7BC66EF"/>
    <w:multiLevelType w:val="hybridMultilevel"/>
    <w:tmpl w:val="42F87F8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94E138E"/>
    <w:multiLevelType w:val="hybridMultilevel"/>
    <w:tmpl w:val="DFCAF9F0"/>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A35571B"/>
    <w:multiLevelType w:val="hybridMultilevel"/>
    <w:tmpl w:val="532E6146"/>
    <w:lvl w:ilvl="0" w:tplc="6FA69CB4">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A5A60D7"/>
    <w:multiLevelType w:val="hybridMultilevel"/>
    <w:tmpl w:val="BA141194"/>
    <w:lvl w:ilvl="0" w:tplc="040C000F">
      <w:start w:val="1"/>
      <w:numFmt w:val="decimal"/>
      <w:lvlText w:val="%1."/>
      <w:lvlJc w:val="left"/>
      <w:pPr>
        <w:ind w:left="1428" w:hanging="360"/>
      </w:pPr>
    </w:lvl>
    <w:lvl w:ilvl="1" w:tplc="040C0019" w:tentative="1">
      <w:start w:val="1"/>
      <w:numFmt w:val="lowerLetter"/>
      <w:lvlText w:val="%2."/>
      <w:lvlJc w:val="left"/>
      <w:pPr>
        <w:ind w:left="2148" w:hanging="360"/>
      </w:pPr>
    </w:lvl>
    <w:lvl w:ilvl="2" w:tplc="040C001B" w:tentative="1">
      <w:start w:val="1"/>
      <w:numFmt w:val="lowerRoman"/>
      <w:lvlText w:val="%3."/>
      <w:lvlJc w:val="right"/>
      <w:pPr>
        <w:ind w:left="2868" w:hanging="180"/>
      </w:pPr>
    </w:lvl>
    <w:lvl w:ilvl="3" w:tplc="040C000F" w:tentative="1">
      <w:start w:val="1"/>
      <w:numFmt w:val="decimal"/>
      <w:lvlText w:val="%4."/>
      <w:lvlJc w:val="left"/>
      <w:pPr>
        <w:ind w:left="3588" w:hanging="360"/>
      </w:pPr>
    </w:lvl>
    <w:lvl w:ilvl="4" w:tplc="040C0019" w:tentative="1">
      <w:start w:val="1"/>
      <w:numFmt w:val="lowerLetter"/>
      <w:lvlText w:val="%5."/>
      <w:lvlJc w:val="left"/>
      <w:pPr>
        <w:ind w:left="4308" w:hanging="360"/>
      </w:pPr>
    </w:lvl>
    <w:lvl w:ilvl="5" w:tplc="040C001B" w:tentative="1">
      <w:start w:val="1"/>
      <w:numFmt w:val="lowerRoman"/>
      <w:lvlText w:val="%6."/>
      <w:lvlJc w:val="right"/>
      <w:pPr>
        <w:ind w:left="5028" w:hanging="180"/>
      </w:pPr>
    </w:lvl>
    <w:lvl w:ilvl="6" w:tplc="040C000F" w:tentative="1">
      <w:start w:val="1"/>
      <w:numFmt w:val="decimal"/>
      <w:lvlText w:val="%7."/>
      <w:lvlJc w:val="left"/>
      <w:pPr>
        <w:ind w:left="5748" w:hanging="360"/>
      </w:pPr>
    </w:lvl>
    <w:lvl w:ilvl="7" w:tplc="040C0019" w:tentative="1">
      <w:start w:val="1"/>
      <w:numFmt w:val="lowerLetter"/>
      <w:lvlText w:val="%8."/>
      <w:lvlJc w:val="left"/>
      <w:pPr>
        <w:ind w:left="6468" w:hanging="360"/>
      </w:pPr>
    </w:lvl>
    <w:lvl w:ilvl="8" w:tplc="040C001B" w:tentative="1">
      <w:start w:val="1"/>
      <w:numFmt w:val="lowerRoman"/>
      <w:lvlText w:val="%9."/>
      <w:lvlJc w:val="right"/>
      <w:pPr>
        <w:ind w:left="7188" w:hanging="180"/>
      </w:pPr>
    </w:lvl>
  </w:abstractNum>
  <w:abstractNum w:abstractNumId="6" w15:restartNumberingAfterBreak="0">
    <w:nsid w:val="0AB85847"/>
    <w:multiLevelType w:val="hybridMultilevel"/>
    <w:tmpl w:val="1A14C38E"/>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0FBD0B69"/>
    <w:multiLevelType w:val="hybridMultilevel"/>
    <w:tmpl w:val="F1E6C1C6"/>
    <w:lvl w:ilvl="0" w:tplc="77A2F314">
      <w:start w:val="2"/>
      <w:numFmt w:val="bullet"/>
      <w:lvlText w:val="-"/>
      <w:lvlJc w:val="left"/>
      <w:pPr>
        <w:ind w:left="720" w:hanging="360"/>
      </w:pPr>
      <w:rPr>
        <w:rFonts w:ascii="Cambria" w:eastAsiaTheme="minorHAnsi" w:hAnsi="Cambria" w:cs="Times New Roman"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8" w15:restartNumberingAfterBreak="0">
    <w:nsid w:val="12F3282C"/>
    <w:multiLevelType w:val="hybridMultilevel"/>
    <w:tmpl w:val="BF98B1F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47C140F"/>
    <w:multiLevelType w:val="hybridMultilevel"/>
    <w:tmpl w:val="4C8636F2"/>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150173EC"/>
    <w:multiLevelType w:val="hybridMultilevel"/>
    <w:tmpl w:val="F718077C"/>
    <w:lvl w:ilvl="0" w:tplc="7F1AA2D2">
      <w:start w:val="1"/>
      <w:numFmt w:val="bullet"/>
      <w:lvlText w:val=""/>
      <w:lvlJc w:val="left"/>
      <w:pPr>
        <w:tabs>
          <w:tab w:val="num" w:pos="720"/>
        </w:tabs>
        <w:ind w:left="720" w:hanging="360"/>
      </w:pPr>
      <w:rPr>
        <w:rFonts w:ascii="Wingdings" w:hAnsi="Wingdings" w:hint="default"/>
      </w:rPr>
    </w:lvl>
    <w:lvl w:ilvl="1" w:tplc="F6D4C0F4" w:tentative="1">
      <w:start w:val="1"/>
      <w:numFmt w:val="bullet"/>
      <w:lvlText w:val=""/>
      <w:lvlJc w:val="left"/>
      <w:pPr>
        <w:tabs>
          <w:tab w:val="num" w:pos="1440"/>
        </w:tabs>
        <w:ind w:left="1440" w:hanging="360"/>
      </w:pPr>
      <w:rPr>
        <w:rFonts w:ascii="Wingdings" w:hAnsi="Wingdings" w:hint="default"/>
      </w:rPr>
    </w:lvl>
    <w:lvl w:ilvl="2" w:tplc="DBAC082E" w:tentative="1">
      <w:start w:val="1"/>
      <w:numFmt w:val="bullet"/>
      <w:lvlText w:val=""/>
      <w:lvlJc w:val="left"/>
      <w:pPr>
        <w:tabs>
          <w:tab w:val="num" w:pos="2160"/>
        </w:tabs>
        <w:ind w:left="2160" w:hanging="360"/>
      </w:pPr>
      <w:rPr>
        <w:rFonts w:ascii="Wingdings" w:hAnsi="Wingdings" w:hint="default"/>
      </w:rPr>
    </w:lvl>
    <w:lvl w:ilvl="3" w:tplc="2A52CF6A" w:tentative="1">
      <w:start w:val="1"/>
      <w:numFmt w:val="bullet"/>
      <w:lvlText w:val=""/>
      <w:lvlJc w:val="left"/>
      <w:pPr>
        <w:tabs>
          <w:tab w:val="num" w:pos="2880"/>
        </w:tabs>
        <w:ind w:left="2880" w:hanging="360"/>
      </w:pPr>
      <w:rPr>
        <w:rFonts w:ascii="Wingdings" w:hAnsi="Wingdings" w:hint="default"/>
      </w:rPr>
    </w:lvl>
    <w:lvl w:ilvl="4" w:tplc="BADC35F4" w:tentative="1">
      <w:start w:val="1"/>
      <w:numFmt w:val="bullet"/>
      <w:lvlText w:val=""/>
      <w:lvlJc w:val="left"/>
      <w:pPr>
        <w:tabs>
          <w:tab w:val="num" w:pos="3600"/>
        </w:tabs>
        <w:ind w:left="3600" w:hanging="360"/>
      </w:pPr>
      <w:rPr>
        <w:rFonts w:ascii="Wingdings" w:hAnsi="Wingdings" w:hint="default"/>
      </w:rPr>
    </w:lvl>
    <w:lvl w:ilvl="5" w:tplc="57443F26" w:tentative="1">
      <w:start w:val="1"/>
      <w:numFmt w:val="bullet"/>
      <w:lvlText w:val=""/>
      <w:lvlJc w:val="left"/>
      <w:pPr>
        <w:tabs>
          <w:tab w:val="num" w:pos="4320"/>
        </w:tabs>
        <w:ind w:left="4320" w:hanging="360"/>
      </w:pPr>
      <w:rPr>
        <w:rFonts w:ascii="Wingdings" w:hAnsi="Wingdings" w:hint="default"/>
      </w:rPr>
    </w:lvl>
    <w:lvl w:ilvl="6" w:tplc="E3F496AA" w:tentative="1">
      <w:start w:val="1"/>
      <w:numFmt w:val="bullet"/>
      <w:lvlText w:val=""/>
      <w:lvlJc w:val="left"/>
      <w:pPr>
        <w:tabs>
          <w:tab w:val="num" w:pos="5040"/>
        </w:tabs>
        <w:ind w:left="5040" w:hanging="360"/>
      </w:pPr>
      <w:rPr>
        <w:rFonts w:ascii="Wingdings" w:hAnsi="Wingdings" w:hint="default"/>
      </w:rPr>
    </w:lvl>
    <w:lvl w:ilvl="7" w:tplc="6CE0668E" w:tentative="1">
      <w:start w:val="1"/>
      <w:numFmt w:val="bullet"/>
      <w:lvlText w:val=""/>
      <w:lvlJc w:val="left"/>
      <w:pPr>
        <w:tabs>
          <w:tab w:val="num" w:pos="5760"/>
        </w:tabs>
        <w:ind w:left="5760" w:hanging="360"/>
      </w:pPr>
      <w:rPr>
        <w:rFonts w:ascii="Wingdings" w:hAnsi="Wingdings" w:hint="default"/>
      </w:rPr>
    </w:lvl>
    <w:lvl w:ilvl="8" w:tplc="D8D853E2"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A0E331B"/>
    <w:multiLevelType w:val="hybridMultilevel"/>
    <w:tmpl w:val="8B7202E2"/>
    <w:lvl w:ilvl="0" w:tplc="EA2890FC">
      <w:start w:val="1"/>
      <w:numFmt w:val="bullet"/>
      <w:lvlText w:val=""/>
      <w:lvlJc w:val="left"/>
      <w:pPr>
        <w:tabs>
          <w:tab w:val="num" w:pos="720"/>
        </w:tabs>
        <w:ind w:left="720" w:hanging="360"/>
      </w:pPr>
      <w:rPr>
        <w:rFonts w:ascii="Wingdings" w:hAnsi="Wingdings" w:hint="default"/>
      </w:rPr>
    </w:lvl>
    <w:lvl w:ilvl="1" w:tplc="8A66F2EA" w:tentative="1">
      <w:start w:val="1"/>
      <w:numFmt w:val="bullet"/>
      <w:lvlText w:val=""/>
      <w:lvlJc w:val="left"/>
      <w:pPr>
        <w:tabs>
          <w:tab w:val="num" w:pos="1440"/>
        </w:tabs>
        <w:ind w:left="1440" w:hanging="360"/>
      </w:pPr>
      <w:rPr>
        <w:rFonts w:ascii="Wingdings" w:hAnsi="Wingdings" w:hint="default"/>
      </w:rPr>
    </w:lvl>
    <w:lvl w:ilvl="2" w:tplc="7BDC3E16" w:tentative="1">
      <w:start w:val="1"/>
      <w:numFmt w:val="bullet"/>
      <w:lvlText w:val=""/>
      <w:lvlJc w:val="left"/>
      <w:pPr>
        <w:tabs>
          <w:tab w:val="num" w:pos="2160"/>
        </w:tabs>
        <w:ind w:left="2160" w:hanging="360"/>
      </w:pPr>
      <w:rPr>
        <w:rFonts w:ascii="Wingdings" w:hAnsi="Wingdings" w:hint="default"/>
      </w:rPr>
    </w:lvl>
    <w:lvl w:ilvl="3" w:tplc="5CFA3A7C" w:tentative="1">
      <w:start w:val="1"/>
      <w:numFmt w:val="bullet"/>
      <w:lvlText w:val=""/>
      <w:lvlJc w:val="left"/>
      <w:pPr>
        <w:tabs>
          <w:tab w:val="num" w:pos="2880"/>
        </w:tabs>
        <w:ind w:left="2880" w:hanging="360"/>
      </w:pPr>
      <w:rPr>
        <w:rFonts w:ascii="Wingdings" w:hAnsi="Wingdings" w:hint="default"/>
      </w:rPr>
    </w:lvl>
    <w:lvl w:ilvl="4" w:tplc="2D3801B2" w:tentative="1">
      <w:start w:val="1"/>
      <w:numFmt w:val="bullet"/>
      <w:lvlText w:val=""/>
      <w:lvlJc w:val="left"/>
      <w:pPr>
        <w:tabs>
          <w:tab w:val="num" w:pos="3600"/>
        </w:tabs>
        <w:ind w:left="3600" w:hanging="360"/>
      </w:pPr>
      <w:rPr>
        <w:rFonts w:ascii="Wingdings" w:hAnsi="Wingdings" w:hint="default"/>
      </w:rPr>
    </w:lvl>
    <w:lvl w:ilvl="5" w:tplc="619E5148" w:tentative="1">
      <w:start w:val="1"/>
      <w:numFmt w:val="bullet"/>
      <w:lvlText w:val=""/>
      <w:lvlJc w:val="left"/>
      <w:pPr>
        <w:tabs>
          <w:tab w:val="num" w:pos="4320"/>
        </w:tabs>
        <w:ind w:left="4320" w:hanging="360"/>
      </w:pPr>
      <w:rPr>
        <w:rFonts w:ascii="Wingdings" w:hAnsi="Wingdings" w:hint="default"/>
      </w:rPr>
    </w:lvl>
    <w:lvl w:ilvl="6" w:tplc="8C283E80" w:tentative="1">
      <w:start w:val="1"/>
      <w:numFmt w:val="bullet"/>
      <w:lvlText w:val=""/>
      <w:lvlJc w:val="left"/>
      <w:pPr>
        <w:tabs>
          <w:tab w:val="num" w:pos="5040"/>
        </w:tabs>
        <w:ind w:left="5040" w:hanging="360"/>
      </w:pPr>
      <w:rPr>
        <w:rFonts w:ascii="Wingdings" w:hAnsi="Wingdings" w:hint="default"/>
      </w:rPr>
    </w:lvl>
    <w:lvl w:ilvl="7" w:tplc="34061008" w:tentative="1">
      <w:start w:val="1"/>
      <w:numFmt w:val="bullet"/>
      <w:lvlText w:val=""/>
      <w:lvlJc w:val="left"/>
      <w:pPr>
        <w:tabs>
          <w:tab w:val="num" w:pos="5760"/>
        </w:tabs>
        <w:ind w:left="5760" w:hanging="360"/>
      </w:pPr>
      <w:rPr>
        <w:rFonts w:ascii="Wingdings" w:hAnsi="Wingdings" w:hint="default"/>
      </w:rPr>
    </w:lvl>
    <w:lvl w:ilvl="8" w:tplc="70F86FE2"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B095997"/>
    <w:multiLevelType w:val="hybridMultilevel"/>
    <w:tmpl w:val="7686894C"/>
    <w:lvl w:ilvl="0" w:tplc="5FCC68C2">
      <w:start w:val="1"/>
      <w:numFmt w:val="bullet"/>
      <w:pStyle w:val="BodyTextind1"/>
      <w:lvlText w:val=""/>
      <w:lvlJc w:val="left"/>
      <w:pPr>
        <w:ind w:left="720" w:hanging="360"/>
      </w:pPr>
      <w:rPr>
        <w:rFonts w:ascii="Symbol" w:hAnsi="Symbol" w:hint="default"/>
      </w:rPr>
    </w:lvl>
    <w:lvl w:ilvl="1" w:tplc="04070003">
      <w:start w:val="1"/>
      <w:numFmt w:val="bullet"/>
      <w:pStyle w:val="BodyTextind2"/>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1F4A1A0B"/>
    <w:multiLevelType w:val="hybridMultilevel"/>
    <w:tmpl w:val="7758D27E"/>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205A5B78"/>
    <w:multiLevelType w:val="hybridMultilevel"/>
    <w:tmpl w:val="AE709700"/>
    <w:lvl w:ilvl="0" w:tplc="ED94E5B6">
      <w:numFmt w:val="bullet"/>
      <w:lvlText w:val="-"/>
      <w:lvlJc w:val="left"/>
      <w:pPr>
        <w:ind w:left="1440" w:hanging="360"/>
      </w:pPr>
      <w:rPr>
        <w:rFonts w:ascii="Times New Roman" w:eastAsia="Times New Roman" w:hAnsi="Times New Roman"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5" w15:restartNumberingAfterBreak="0">
    <w:nsid w:val="22B64F6C"/>
    <w:multiLevelType w:val="hybridMultilevel"/>
    <w:tmpl w:val="DA50C8B0"/>
    <w:lvl w:ilvl="0" w:tplc="6B9C9C32">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22EA1D61"/>
    <w:multiLevelType w:val="hybridMultilevel"/>
    <w:tmpl w:val="74DC91A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258E04C4"/>
    <w:multiLevelType w:val="hybridMultilevel"/>
    <w:tmpl w:val="E29C07A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26750D56"/>
    <w:multiLevelType w:val="hybridMultilevel"/>
    <w:tmpl w:val="7C0E8D8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15:restartNumberingAfterBreak="0">
    <w:nsid w:val="27872336"/>
    <w:multiLevelType w:val="hybridMultilevel"/>
    <w:tmpl w:val="D80A7F98"/>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283A6C0A"/>
    <w:multiLevelType w:val="hybridMultilevel"/>
    <w:tmpl w:val="3E7808D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285745DF"/>
    <w:multiLevelType w:val="hybridMultilevel"/>
    <w:tmpl w:val="682263CA"/>
    <w:lvl w:ilvl="0" w:tplc="1EC6194C">
      <w:start w:val="1"/>
      <w:numFmt w:val="bullet"/>
      <w:lvlText w:val=""/>
      <w:lvlJc w:val="left"/>
      <w:pPr>
        <w:ind w:left="720" w:hanging="360"/>
      </w:pPr>
      <w:rPr>
        <w:rFonts w:ascii="Symbol" w:hAnsi="Symbol" w:hint="default"/>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287A0537"/>
    <w:multiLevelType w:val="multilevel"/>
    <w:tmpl w:val="04070025"/>
    <w:lvl w:ilvl="0">
      <w:start w:val="1"/>
      <w:numFmt w:val="decimal"/>
      <w:pStyle w:val="Titre1"/>
      <w:lvlText w:val="%1"/>
      <w:lvlJc w:val="left"/>
      <w:pPr>
        <w:ind w:left="432" w:hanging="432"/>
      </w:pPr>
    </w:lvl>
    <w:lvl w:ilvl="1">
      <w:start w:val="1"/>
      <w:numFmt w:val="decimal"/>
      <w:pStyle w:val="Titre2"/>
      <w:lvlText w:val="%1.%2"/>
      <w:lvlJc w:val="left"/>
      <w:pPr>
        <w:ind w:left="859" w:hanging="576"/>
      </w:pPr>
    </w:lvl>
    <w:lvl w:ilvl="2">
      <w:start w:val="1"/>
      <w:numFmt w:val="decimal"/>
      <w:pStyle w:val="Titre3"/>
      <w:lvlText w:val="%1.%2.%3"/>
      <w:lvlJc w:val="left"/>
      <w:pPr>
        <w:ind w:left="862" w:hanging="720"/>
      </w:pPr>
    </w:lvl>
    <w:lvl w:ilvl="3">
      <w:start w:val="1"/>
      <w:numFmt w:val="decimal"/>
      <w:pStyle w:val="Titre4"/>
      <w:lvlText w:val="%1.%2.%3.%4"/>
      <w:lvlJc w:val="left"/>
      <w:pPr>
        <w:ind w:left="1431" w:hanging="864"/>
      </w:pPr>
    </w:lvl>
    <w:lvl w:ilvl="4">
      <w:start w:val="1"/>
      <w:numFmt w:val="decimal"/>
      <w:pStyle w:val="Titre5"/>
      <w:lvlText w:val="%1.%2.%3.%4.%5"/>
      <w:lvlJc w:val="left"/>
      <w:pPr>
        <w:ind w:left="1008"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23" w15:restartNumberingAfterBreak="0">
    <w:nsid w:val="29F14491"/>
    <w:multiLevelType w:val="hybridMultilevel"/>
    <w:tmpl w:val="4C4451F0"/>
    <w:lvl w:ilvl="0" w:tplc="040C000D">
      <w:start w:val="1"/>
      <w:numFmt w:val="bullet"/>
      <w:lvlText w:val=""/>
      <w:lvlJc w:val="left"/>
      <w:pPr>
        <w:ind w:left="1068" w:hanging="360"/>
      </w:pPr>
      <w:rPr>
        <w:rFonts w:ascii="Wingdings" w:hAnsi="Wingdings"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24" w15:restartNumberingAfterBreak="0">
    <w:nsid w:val="2AC57ECC"/>
    <w:multiLevelType w:val="hybridMultilevel"/>
    <w:tmpl w:val="3D8222E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2BF92C95"/>
    <w:multiLevelType w:val="hybridMultilevel"/>
    <w:tmpl w:val="2E34DF9E"/>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2CF909A8"/>
    <w:multiLevelType w:val="hybridMultilevel"/>
    <w:tmpl w:val="63FC248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2E22108F"/>
    <w:multiLevelType w:val="hybridMultilevel"/>
    <w:tmpl w:val="F0A8DBEC"/>
    <w:lvl w:ilvl="0" w:tplc="8B28FC48">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8" w15:restartNumberingAfterBreak="0">
    <w:nsid w:val="2F981277"/>
    <w:multiLevelType w:val="hybridMultilevel"/>
    <w:tmpl w:val="2BFA6130"/>
    <w:lvl w:ilvl="0" w:tplc="C7F6B816">
      <w:start w:val="2"/>
      <w:numFmt w:val="bullet"/>
      <w:lvlText w:val="-"/>
      <w:lvlJc w:val="left"/>
      <w:pPr>
        <w:ind w:left="720" w:hanging="360"/>
      </w:pPr>
      <w:rPr>
        <w:rFonts w:ascii="Calibri" w:eastAsia="Calibri" w:hAnsi="Calibri" w:cs="Times New Roman" w:hint="default"/>
        <w:b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30863882"/>
    <w:multiLevelType w:val="hybridMultilevel"/>
    <w:tmpl w:val="2FFA1AD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31B35062"/>
    <w:multiLevelType w:val="hybridMultilevel"/>
    <w:tmpl w:val="92BCADCE"/>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31E8529D"/>
    <w:multiLevelType w:val="hybridMultilevel"/>
    <w:tmpl w:val="4836A2DA"/>
    <w:lvl w:ilvl="0" w:tplc="05FE592A">
      <w:start w:val="1"/>
      <w:numFmt w:val="bullet"/>
      <w:lvlText w:val=""/>
      <w:lvlJc w:val="left"/>
      <w:pPr>
        <w:tabs>
          <w:tab w:val="num" w:pos="720"/>
        </w:tabs>
        <w:ind w:left="720" w:hanging="360"/>
      </w:pPr>
      <w:rPr>
        <w:rFonts w:ascii="Wingdings" w:hAnsi="Wingdings" w:hint="default"/>
      </w:rPr>
    </w:lvl>
    <w:lvl w:ilvl="1" w:tplc="FDFC71B6" w:tentative="1">
      <w:start w:val="1"/>
      <w:numFmt w:val="bullet"/>
      <w:lvlText w:val=""/>
      <w:lvlJc w:val="left"/>
      <w:pPr>
        <w:tabs>
          <w:tab w:val="num" w:pos="1440"/>
        </w:tabs>
        <w:ind w:left="1440" w:hanging="360"/>
      </w:pPr>
      <w:rPr>
        <w:rFonts w:ascii="Wingdings" w:hAnsi="Wingdings" w:hint="default"/>
      </w:rPr>
    </w:lvl>
    <w:lvl w:ilvl="2" w:tplc="B81A5404" w:tentative="1">
      <w:start w:val="1"/>
      <w:numFmt w:val="bullet"/>
      <w:lvlText w:val=""/>
      <w:lvlJc w:val="left"/>
      <w:pPr>
        <w:tabs>
          <w:tab w:val="num" w:pos="2160"/>
        </w:tabs>
        <w:ind w:left="2160" w:hanging="360"/>
      </w:pPr>
      <w:rPr>
        <w:rFonts w:ascii="Wingdings" w:hAnsi="Wingdings" w:hint="default"/>
      </w:rPr>
    </w:lvl>
    <w:lvl w:ilvl="3" w:tplc="8CB0DA8C" w:tentative="1">
      <w:start w:val="1"/>
      <w:numFmt w:val="bullet"/>
      <w:lvlText w:val=""/>
      <w:lvlJc w:val="left"/>
      <w:pPr>
        <w:tabs>
          <w:tab w:val="num" w:pos="2880"/>
        </w:tabs>
        <w:ind w:left="2880" w:hanging="360"/>
      </w:pPr>
      <w:rPr>
        <w:rFonts w:ascii="Wingdings" w:hAnsi="Wingdings" w:hint="default"/>
      </w:rPr>
    </w:lvl>
    <w:lvl w:ilvl="4" w:tplc="EDAA2716" w:tentative="1">
      <w:start w:val="1"/>
      <w:numFmt w:val="bullet"/>
      <w:lvlText w:val=""/>
      <w:lvlJc w:val="left"/>
      <w:pPr>
        <w:tabs>
          <w:tab w:val="num" w:pos="3600"/>
        </w:tabs>
        <w:ind w:left="3600" w:hanging="360"/>
      </w:pPr>
      <w:rPr>
        <w:rFonts w:ascii="Wingdings" w:hAnsi="Wingdings" w:hint="default"/>
      </w:rPr>
    </w:lvl>
    <w:lvl w:ilvl="5" w:tplc="E0B053DC" w:tentative="1">
      <w:start w:val="1"/>
      <w:numFmt w:val="bullet"/>
      <w:lvlText w:val=""/>
      <w:lvlJc w:val="left"/>
      <w:pPr>
        <w:tabs>
          <w:tab w:val="num" w:pos="4320"/>
        </w:tabs>
        <w:ind w:left="4320" w:hanging="360"/>
      </w:pPr>
      <w:rPr>
        <w:rFonts w:ascii="Wingdings" w:hAnsi="Wingdings" w:hint="default"/>
      </w:rPr>
    </w:lvl>
    <w:lvl w:ilvl="6" w:tplc="7D9EB3DE" w:tentative="1">
      <w:start w:val="1"/>
      <w:numFmt w:val="bullet"/>
      <w:lvlText w:val=""/>
      <w:lvlJc w:val="left"/>
      <w:pPr>
        <w:tabs>
          <w:tab w:val="num" w:pos="5040"/>
        </w:tabs>
        <w:ind w:left="5040" w:hanging="360"/>
      </w:pPr>
      <w:rPr>
        <w:rFonts w:ascii="Wingdings" w:hAnsi="Wingdings" w:hint="default"/>
      </w:rPr>
    </w:lvl>
    <w:lvl w:ilvl="7" w:tplc="CFAEBCCE" w:tentative="1">
      <w:start w:val="1"/>
      <w:numFmt w:val="bullet"/>
      <w:lvlText w:val=""/>
      <w:lvlJc w:val="left"/>
      <w:pPr>
        <w:tabs>
          <w:tab w:val="num" w:pos="5760"/>
        </w:tabs>
        <w:ind w:left="5760" w:hanging="360"/>
      </w:pPr>
      <w:rPr>
        <w:rFonts w:ascii="Wingdings" w:hAnsi="Wingdings" w:hint="default"/>
      </w:rPr>
    </w:lvl>
    <w:lvl w:ilvl="8" w:tplc="B5FE52CC"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32093E22"/>
    <w:multiLevelType w:val="hybridMultilevel"/>
    <w:tmpl w:val="7A5A7532"/>
    <w:lvl w:ilvl="0" w:tplc="040C000D">
      <w:start w:val="1"/>
      <w:numFmt w:val="bullet"/>
      <w:lvlText w:val=""/>
      <w:lvlJc w:val="left"/>
      <w:pPr>
        <w:tabs>
          <w:tab w:val="num" w:pos="720"/>
        </w:tabs>
        <w:ind w:left="720" w:hanging="360"/>
      </w:pPr>
      <w:rPr>
        <w:rFonts w:ascii="Wingdings" w:hAnsi="Wingdings" w:hint="default"/>
      </w:rPr>
    </w:lvl>
    <w:lvl w:ilvl="1" w:tplc="AD40EB8A" w:tentative="1">
      <w:start w:val="1"/>
      <w:numFmt w:val="bullet"/>
      <w:lvlText w:val=""/>
      <w:lvlJc w:val="left"/>
      <w:pPr>
        <w:tabs>
          <w:tab w:val="num" w:pos="1440"/>
        </w:tabs>
        <w:ind w:left="1440" w:hanging="360"/>
      </w:pPr>
      <w:rPr>
        <w:rFonts w:ascii="Wingdings" w:hAnsi="Wingdings" w:hint="default"/>
      </w:rPr>
    </w:lvl>
    <w:lvl w:ilvl="2" w:tplc="ADAC2670" w:tentative="1">
      <w:start w:val="1"/>
      <w:numFmt w:val="bullet"/>
      <w:lvlText w:val=""/>
      <w:lvlJc w:val="left"/>
      <w:pPr>
        <w:tabs>
          <w:tab w:val="num" w:pos="2160"/>
        </w:tabs>
        <w:ind w:left="2160" w:hanging="360"/>
      </w:pPr>
      <w:rPr>
        <w:rFonts w:ascii="Wingdings" w:hAnsi="Wingdings" w:hint="default"/>
      </w:rPr>
    </w:lvl>
    <w:lvl w:ilvl="3" w:tplc="032CE9FC" w:tentative="1">
      <w:start w:val="1"/>
      <w:numFmt w:val="bullet"/>
      <w:lvlText w:val=""/>
      <w:lvlJc w:val="left"/>
      <w:pPr>
        <w:tabs>
          <w:tab w:val="num" w:pos="2880"/>
        </w:tabs>
        <w:ind w:left="2880" w:hanging="360"/>
      </w:pPr>
      <w:rPr>
        <w:rFonts w:ascii="Wingdings" w:hAnsi="Wingdings" w:hint="default"/>
      </w:rPr>
    </w:lvl>
    <w:lvl w:ilvl="4" w:tplc="0FBE51AA" w:tentative="1">
      <w:start w:val="1"/>
      <w:numFmt w:val="bullet"/>
      <w:lvlText w:val=""/>
      <w:lvlJc w:val="left"/>
      <w:pPr>
        <w:tabs>
          <w:tab w:val="num" w:pos="3600"/>
        </w:tabs>
        <w:ind w:left="3600" w:hanging="360"/>
      </w:pPr>
      <w:rPr>
        <w:rFonts w:ascii="Wingdings" w:hAnsi="Wingdings" w:hint="default"/>
      </w:rPr>
    </w:lvl>
    <w:lvl w:ilvl="5" w:tplc="3FCA7CD4" w:tentative="1">
      <w:start w:val="1"/>
      <w:numFmt w:val="bullet"/>
      <w:lvlText w:val=""/>
      <w:lvlJc w:val="left"/>
      <w:pPr>
        <w:tabs>
          <w:tab w:val="num" w:pos="4320"/>
        </w:tabs>
        <w:ind w:left="4320" w:hanging="360"/>
      </w:pPr>
      <w:rPr>
        <w:rFonts w:ascii="Wingdings" w:hAnsi="Wingdings" w:hint="default"/>
      </w:rPr>
    </w:lvl>
    <w:lvl w:ilvl="6" w:tplc="4AA4C4D8" w:tentative="1">
      <w:start w:val="1"/>
      <w:numFmt w:val="bullet"/>
      <w:lvlText w:val=""/>
      <w:lvlJc w:val="left"/>
      <w:pPr>
        <w:tabs>
          <w:tab w:val="num" w:pos="5040"/>
        </w:tabs>
        <w:ind w:left="5040" w:hanging="360"/>
      </w:pPr>
      <w:rPr>
        <w:rFonts w:ascii="Wingdings" w:hAnsi="Wingdings" w:hint="default"/>
      </w:rPr>
    </w:lvl>
    <w:lvl w:ilvl="7" w:tplc="0D2CA4E6" w:tentative="1">
      <w:start w:val="1"/>
      <w:numFmt w:val="bullet"/>
      <w:lvlText w:val=""/>
      <w:lvlJc w:val="left"/>
      <w:pPr>
        <w:tabs>
          <w:tab w:val="num" w:pos="5760"/>
        </w:tabs>
        <w:ind w:left="5760" w:hanging="360"/>
      </w:pPr>
      <w:rPr>
        <w:rFonts w:ascii="Wingdings" w:hAnsi="Wingdings" w:hint="default"/>
      </w:rPr>
    </w:lvl>
    <w:lvl w:ilvl="8" w:tplc="A9640162"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34E91F29"/>
    <w:multiLevelType w:val="hybridMultilevel"/>
    <w:tmpl w:val="E32CD108"/>
    <w:lvl w:ilvl="0" w:tplc="AC12AB72">
      <w:start w:val="1"/>
      <w:numFmt w:val="bullet"/>
      <w:pStyle w:val="BodyTextInd0"/>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hint="default"/>
      </w:rPr>
    </w:lvl>
  </w:abstractNum>
  <w:abstractNum w:abstractNumId="34" w15:restartNumberingAfterBreak="0">
    <w:nsid w:val="37A0274D"/>
    <w:multiLevelType w:val="hybridMultilevel"/>
    <w:tmpl w:val="FD0C387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3853072F"/>
    <w:multiLevelType w:val="hybridMultilevel"/>
    <w:tmpl w:val="86888140"/>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3A796213"/>
    <w:multiLevelType w:val="hybridMultilevel"/>
    <w:tmpl w:val="86CA67F2"/>
    <w:lvl w:ilvl="0" w:tplc="040C000F">
      <w:start w:val="1"/>
      <w:numFmt w:val="decimal"/>
      <w:lvlText w:val="%1."/>
      <w:lvlJc w:val="left"/>
      <w:pPr>
        <w:ind w:left="1428" w:hanging="360"/>
      </w:pPr>
    </w:lvl>
    <w:lvl w:ilvl="1" w:tplc="040C0019" w:tentative="1">
      <w:start w:val="1"/>
      <w:numFmt w:val="lowerLetter"/>
      <w:lvlText w:val="%2."/>
      <w:lvlJc w:val="left"/>
      <w:pPr>
        <w:ind w:left="2148" w:hanging="360"/>
      </w:pPr>
    </w:lvl>
    <w:lvl w:ilvl="2" w:tplc="040C001B" w:tentative="1">
      <w:start w:val="1"/>
      <w:numFmt w:val="lowerRoman"/>
      <w:lvlText w:val="%3."/>
      <w:lvlJc w:val="right"/>
      <w:pPr>
        <w:ind w:left="2868" w:hanging="180"/>
      </w:pPr>
    </w:lvl>
    <w:lvl w:ilvl="3" w:tplc="040C000F" w:tentative="1">
      <w:start w:val="1"/>
      <w:numFmt w:val="decimal"/>
      <w:lvlText w:val="%4."/>
      <w:lvlJc w:val="left"/>
      <w:pPr>
        <w:ind w:left="3588" w:hanging="360"/>
      </w:pPr>
    </w:lvl>
    <w:lvl w:ilvl="4" w:tplc="040C0019" w:tentative="1">
      <w:start w:val="1"/>
      <w:numFmt w:val="lowerLetter"/>
      <w:lvlText w:val="%5."/>
      <w:lvlJc w:val="left"/>
      <w:pPr>
        <w:ind w:left="4308" w:hanging="360"/>
      </w:pPr>
    </w:lvl>
    <w:lvl w:ilvl="5" w:tplc="040C001B" w:tentative="1">
      <w:start w:val="1"/>
      <w:numFmt w:val="lowerRoman"/>
      <w:lvlText w:val="%6."/>
      <w:lvlJc w:val="right"/>
      <w:pPr>
        <w:ind w:left="5028" w:hanging="180"/>
      </w:pPr>
    </w:lvl>
    <w:lvl w:ilvl="6" w:tplc="040C000F" w:tentative="1">
      <w:start w:val="1"/>
      <w:numFmt w:val="decimal"/>
      <w:lvlText w:val="%7."/>
      <w:lvlJc w:val="left"/>
      <w:pPr>
        <w:ind w:left="5748" w:hanging="360"/>
      </w:pPr>
    </w:lvl>
    <w:lvl w:ilvl="7" w:tplc="040C0019" w:tentative="1">
      <w:start w:val="1"/>
      <w:numFmt w:val="lowerLetter"/>
      <w:lvlText w:val="%8."/>
      <w:lvlJc w:val="left"/>
      <w:pPr>
        <w:ind w:left="6468" w:hanging="360"/>
      </w:pPr>
    </w:lvl>
    <w:lvl w:ilvl="8" w:tplc="040C001B" w:tentative="1">
      <w:start w:val="1"/>
      <w:numFmt w:val="lowerRoman"/>
      <w:lvlText w:val="%9."/>
      <w:lvlJc w:val="right"/>
      <w:pPr>
        <w:ind w:left="7188" w:hanging="180"/>
      </w:pPr>
    </w:lvl>
  </w:abstractNum>
  <w:abstractNum w:abstractNumId="37" w15:restartNumberingAfterBreak="0">
    <w:nsid w:val="3D3F55EC"/>
    <w:multiLevelType w:val="hybridMultilevel"/>
    <w:tmpl w:val="00B6BB5A"/>
    <w:lvl w:ilvl="0" w:tplc="040C000F">
      <w:start w:val="1"/>
      <w:numFmt w:val="decimal"/>
      <w:lvlText w:val="%1."/>
      <w:lvlJc w:val="left"/>
      <w:pPr>
        <w:ind w:left="1080" w:hanging="360"/>
      </w:p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38" w15:restartNumberingAfterBreak="0">
    <w:nsid w:val="3F310174"/>
    <w:multiLevelType w:val="hybridMultilevel"/>
    <w:tmpl w:val="C45A5590"/>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3FDB04B9"/>
    <w:multiLevelType w:val="hybridMultilevel"/>
    <w:tmpl w:val="D8A24BCE"/>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433E5209"/>
    <w:multiLevelType w:val="hybridMultilevel"/>
    <w:tmpl w:val="0D28F2E6"/>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1" w15:restartNumberingAfterBreak="0">
    <w:nsid w:val="43B9635F"/>
    <w:multiLevelType w:val="hybridMultilevel"/>
    <w:tmpl w:val="24D2F34C"/>
    <w:lvl w:ilvl="0" w:tplc="040C000D">
      <w:start w:val="1"/>
      <w:numFmt w:val="bullet"/>
      <w:lvlText w:val=""/>
      <w:lvlJc w:val="left"/>
      <w:pPr>
        <w:ind w:left="1776" w:hanging="360"/>
      </w:pPr>
      <w:rPr>
        <w:rFonts w:ascii="Wingdings" w:hAnsi="Wingdings" w:hint="default"/>
        <w:i w:val="0"/>
      </w:rPr>
    </w:lvl>
    <w:lvl w:ilvl="1" w:tplc="040C0003" w:tentative="1">
      <w:start w:val="1"/>
      <w:numFmt w:val="bullet"/>
      <w:lvlText w:val="o"/>
      <w:lvlJc w:val="left"/>
      <w:pPr>
        <w:ind w:left="2496" w:hanging="360"/>
      </w:pPr>
      <w:rPr>
        <w:rFonts w:ascii="Courier New" w:hAnsi="Courier New" w:cs="Courier New" w:hint="default"/>
      </w:rPr>
    </w:lvl>
    <w:lvl w:ilvl="2" w:tplc="040C0005" w:tentative="1">
      <w:start w:val="1"/>
      <w:numFmt w:val="bullet"/>
      <w:lvlText w:val=""/>
      <w:lvlJc w:val="left"/>
      <w:pPr>
        <w:ind w:left="3216" w:hanging="360"/>
      </w:pPr>
      <w:rPr>
        <w:rFonts w:ascii="Wingdings" w:hAnsi="Wingdings" w:hint="default"/>
      </w:rPr>
    </w:lvl>
    <w:lvl w:ilvl="3" w:tplc="040C0001" w:tentative="1">
      <w:start w:val="1"/>
      <w:numFmt w:val="bullet"/>
      <w:lvlText w:val=""/>
      <w:lvlJc w:val="left"/>
      <w:pPr>
        <w:ind w:left="3936" w:hanging="360"/>
      </w:pPr>
      <w:rPr>
        <w:rFonts w:ascii="Symbol" w:hAnsi="Symbol" w:hint="default"/>
      </w:rPr>
    </w:lvl>
    <w:lvl w:ilvl="4" w:tplc="040C0003" w:tentative="1">
      <w:start w:val="1"/>
      <w:numFmt w:val="bullet"/>
      <w:lvlText w:val="o"/>
      <w:lvlJc w:val="left"/>
      <w:pPr>
        <w:ind w:left="4656" w:hanging="360"/>
      </w:pPr>
      <w:rPr>
        <w:rFonts w:ascii="Courier New" w:hAnsi="Courier New" w:cs="Courier New" w:hint="default"/>
      </w:rPr>
    </w:lvl>
    <w:lvl w:ilvl="5" w:tplc="040C0005" w:tentative="1">
      <w:start w:val="1"/>
      <w:numFmt w:val="bullet"/>
      <w:lvlText w:val=""/>
      <w:lvlJc w:val="left"/>
      <w:pPr>
        <w:ind w:left="5376" w:hanging="360"/>
      </w:pPr>
      <w:rPr>
        <w:rFonts w:ascii="Wingdings" w:hAnsi="Wingdings" w:hint="default"/>
      </w:rPr>
    </w:lvl>
    <w:lvl w:ilvl="6" w:tplc="040C0001" w:tentative="1">
      <w:start w:val="1"/>
      <w:numFmt w:val="bullet"/>
      <w:lvlText w:val=""/>
      <w:lvlJc w:val="left"/>
      <w:pPr>
        <w:ind w:left="6096" w:hanging="360"/>
      </w:pPr>
      <w:rPr>
        <w:rFonts w:ascii="Symbol" w:hAnsi="Symbol" w:hint="default"/>
      </w:rPr>
    </w:lvl>
    <w:lvl w:ilvl="7" w:tplc="040C0003" w:tentative="1">
      <w:start w:val="1"/>
      <w:numFmt w:val="bullet"/>
      <w:lvlText w:val="o"/>
      <w:lvlJc w:val="left"/>
      <w:pPr>
        <w:ind w:left="6816" w:hanging="360"/>
      </w:pPr>
      <w:rPr>
        <w:rFonts w:ascii="Courier New" w:hAnsi="Courier New" w:cs="Courier New" w:hint="default"/>
      </w:rPr>
    </w:lvl>
    <w:lvl w:ilvl="8" w:tplc="040C0005" w:tentative="1">
      <w:start w:val="1"/>
      <w:numFmt w:val="bullet"/>
      <w:lvlText w:val=""/>
      <w:lvlJc w:val="left"/>
      <w:pPr>
        <w:ind w:left="7536" w:hanging="360"/>
      </w:pPr>
      <w:rPr>
        <w:rFonts w:ascii="Wingdings" w:hAnsi="Wingdings" w:hint="default"/>
      </w:rPr>
    </w:lvl>
  </w:abstractNum>
  <w:abstractNum w:abstractNumId="42" w15:restartNumberingAfterBreak="0">
    <w:nsid w:val="43F43069"/>
    <w:multiLevelType w:val="hybridMultilevel"/>
    <w:tmpl w:val="E508E390"/>
    <w:lvl w:ilvl="0" w:tplc="040C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3" w15:restartNumberingAfterBreak="0">
    <w:nsid w:val="459A5E4C"/>
    <w:multiLevelType w:val="hybridMultilevel"/>
    <w:tmpl w:val="BE54371C"/>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4" w15:restartNumberingAfterBreak="0">
    <w:nsid w:val="45B45475"/>
    <w:multiLevelType w:val="hybridMultilevel"/>
    <w:tmpl w:val="C040DE24"/>
    <w:lvl w:ilvl="0" w:tplc="3D28ACD4">
      <w:start w:val="1"/>
      <w:numFmt w:val="lowerLetter"/>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45" w15:restartNumberingAfterBreak="0">
    <w:nsid w:val="47A70300"/>
    <w:multiLevelType w:val="hybridMultilevel"/>
    <w:tmpl w:val="E92AADBE"/>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6" w15:restartNumberingAfterBreak="0">
    <w:nsid w:val="497147DA"/>
    <w:multiLevelType w:val="hybridMultilevel"/>
    <w:tmpl w:val="7686894C"/>
    <w:lvl w:ilvl="0" w:tplc="5FCC68C2">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7" w15:restartNumberingAfterBreak="0">
    <w:nsid w:val="4ADC19D8"/>
    <w:multiLevelType w:val="hybridMultilevel"/>
    <w:tmpl w:val="68D4ED30"/>
    <w:lvl w:ilvl="0" w:tplc="040C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8" w15:restartNumberingAfterBreak="0">
    <w:nsid w:val="4D2005FB"/>
    <w:multiLevelType w:val="hybridMultilevel"/>
    <w:tmpl w:val="6010DC5C"/>
    <w:lvl w:ilvl="0" w:tplc="E50EEB18">
      <w:start w:val="1988"/>
      <w:numFmt w:val="bullet"/>
      <w:lvlText w:val="-"/>
      <w:lvlJc w:val="left"/>
      <w:pPr>
        <w:ind w:left="720" w:hanging="360"/>
      </w:pPr>
      <w:rPr>
        <w:rFonts w:ascii="Calibri" w:eastAsia="Calibri" w:hAnsi="Calibr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9" w15:restartNumberingAfterBreak="0">
    <w:nsid w:val="4DB02ECD"/>
    <w:multiLevelType w:val="hybridMultilevel"/>
    <w:tmpl w:val="DA14D29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0" w15:restartNumberingAfterBreak="0">
    <w:nsid w:val="4DDD57D3"/>
    <w:multiLevelType w:val="hybridMultilevel"/>
    <w:tmpl w:val="EC02942C"/>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1" w15:restartNumberingAfterBreak="0">
    <w:nsid w:val="4FB93F53"/>
    <w:multiLevelType w:val="hybridMultilevel"/>
    <w:tmpl w:val="FA3EC12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2" w15:restartNumberingAfterBreak="0">
    <w:nsid w:val="4FD72DE4"/>
    <w:multiLevelType w:val="hybridMultilevel"/>
    <w:tmpl w:val="BD726CA4"/>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3" w15:restartNumberingAfterBreak="0">
    <w:nsid w:val="50813DE9"/>
    <w:multiLevelType w:val="hybridMultilevel"/>
    <w:tmpl w:val="AC6C2952"/>
    <w:lvl w:ilvl="0" w:tplc="7DD00C5C">
      <w:start w:val="1"/>
      <w:numFmt w:val="bullet"/>
      <w:lvlText w:val=""/>
      <w:lvlJc w:val="left"/>
      <w:pPr>
        <w:tabs>
          <w:tab w:val="num" w:pos="720"/>
        </w:tabs>
        <w:ind w:left="720" w:hanging="360"/>
      </w:pPr>
      <w:rPr>
        <w:rFonts w:ascii="Wingdings" w:hAnsi="Wingdings" w:hint="default"/>
      </w:rPr>
    </w:lvl>
    <w:lvl w:ilvl="1" w:tplc="7ECE1846" w:tentative="1">
      <w:start w:val="1"/>
      <w:numFmt w:val="bullet"/>
      <w:lvlText w:val=""/>
      <w:lvlJc w:val="left"/>
      <w:pPr>
        <w:tabs>
          <w:tab w:val="num" w:pos="1440"/>
        </w:tabs>
        <w:ind w:left="1440" w:hanging="360"/>
      </w:pPr>
      <w:rPr>
        <w:rFonts w:ascii="Wingdings" w:hAnsi="Wingdings" w:hint="default"/>
      </w:rPr>
    </w:lvl>
    <w:lvl w:ilvl="2" w:tplc="9C7CDE82" w:tentative="1">
      <w:start w:val="1"/>
      <w:numFmt w:val="bullet"/>
      <w:lvlText w:val=""/>
      <w:lvlJc w:val="left"/>
      <w:pPr>
        <w:tabs>
          <w:tab w:val="num" w:pos="2160"/>
        </w:tabs>
        <w:ind w:left="2160" w:hanging="360"/>
      </w:pPr>
      <w:rPr>
        <w:rFonts w:ascii="Wingdings" w:hAnsi="Wingdings" w:hint="default"/>
      </w:rPr>
    </w:lvl>
    <w:lvl w:ilvl="3" w:tplc="A0488DDA" w:tentative="1">
      <w:start w:val="1"/>
      <w:numFmt w:val="bullet"/>
      <w:lvlText w:val=""/>
      <w:lvlJc w:val="left"/>
      <w:pPr>
        <w:tabs>
          <w:tab w:val="num" w:pos="2880"/>
        </w:tabs>
        <w:ind w:left="2880" w:hanging="360"/>
      </w:pPr>
      <w:rPr>
        <w:rFonts w:ascii="Wingdings" w:hAnsi="Wingdings" w:hint="default"/>
      </w:rPr>
    </w:lvl>
    <w:lvl w:ilvl="4" w:tplc="7E4A6774" w:tentative="1">
      <w:start w:val="1"/>
      <w:numFmt w:val="bullet"/>
      <w:lvlText w:val=""/>
      <w:lvlJc w:val="left"/>
      <w:pPr>
        <w:tabs>
          <w:tab w:val="num" w:pos="3600"/>
        </w:tabs>
        <w:ind w:left="3600" w:hanging="360"/>
      </w:pPr>
      <w:rPr>
        <w:rFonts w:ascii="Wingdings" w:hAnsi="Wingdings" w:hint="default"/>
      </w:rPr>
    </w:lvl>
    <w:lvl w:ilvl="5" w:tplc="68C8261E" w:tentative="1">
      <w:start w:val="1"/>
      <w:numFmt w:val="bullet"/>
      <w:lvlText w:val=""/>
      <w:lvlJc w:val="left"/>
      <w:pPr>
        <w:tabs>
          <w:tab w:val="num" w:pos="4320"/>
        </w:tabs>
        <w:ind w:left="4320" w:hanging="360"/>
      </w:pPr>
      <w:rPr>
        <w:rFonts w:ascii="Wingdings" w:hAnsi="Wingdings" w:hint="default"/>
      </w:rPr>
    </w:lvl>
    <w:lvl w:ilvl="6" w:tplc="8F60CD3E" w:tentative="1">
      <w:start w:val="1"/>
      <w:numFmt w:val="bullet"/>
      <w:lvlText w:val=""/>
      <w:lvlJc w:val="left"/>
      <w:pPr>
        <w:tabs>
          <w:tab w:val="num" w:pos="5040"/>
        </w:tabs>
        <w:ind w:left="5040" w:hanging="360"/>
      </w:pPr>
      <w:rPr>
        <w:rFonts w:ascii="Wingdings" w:hAnsi="Wingdings" w:hint="default"/>
      </w:rPr>
    </w:lvl>
    <w:lvl w:ilvl="7" w:tplc="5CD24D86" w:tentative="1">
      <w:start w:val="1"/>
      <w:numFmt w:val="bullet"/>
      <w:lvlText w:val=""/>
      <w:lvlJc w:val="left"/>
      <w:pPr>
        <w:tabs>
          <w:tab w:val="num" w:pos="5760"/>
        </w:tabs>
        <w:ind w:left="5760" w:hanging="360"/>
      </w:pPr>
      <w:rPr>
        <w:rFonts w:ascii="Wingdings" w:hAnsi="Wingdings" w:hint="default"/>
      </w:rPr>
    </w:lvl>
    <w:lvl w:ilvl="8" w:tplc="608C76B6" w:tentative="1">
      <w:start w:val="1"/>
      <w:numFmt w:val="bullet"/>
      <w:lvlText w:val=""/>
      <w:lvlJc w:val="left"/>
      <w:pPr>
        <w:tabs>
          <w:tab w:val="num" w:pos="6480"/>
        </w:tabs>
        <w:ind w:left="6480" w:hanging="360"/>
      </w:pPr>
      <w:rPr>
        <w:rFonts w:ascii="Wingdings" w:hAnsi="Wingdings" w:hint="default"/>
      </w:rPr>
    </w:lvl>
  </w:abstractNum>
  <w:abstractNum w:abstractNumId="54" w15:restartNumberingAfterBreak="0">
    <w:nsid w:val="550B3F7B"/>
    <w:multiLevelType w:val="hybridMultilevel"/>
    <w:tmpl w:val="39A01AEE"/>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5" w15:restartNumberingAfterBreak="0">
    <w:nsid w:val="57C85D45"/>
    <w:multiLevelType w:val="hybridMultilevel"/>
    <w:tmpl w:val="E1CE37E0"/>
    <w:lvl w:ilvl="0" w:tplc="040C000F">
      <w:start w:val="1"/>
      <w:numFmt w:val="decimal"/>
      <w:lvlText w:val="%1."/>
      <w:lvlJc w:val="left"/>
      <w:pPr>
        <w:ind w:left="72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6" w15:restartNumberingAfterBreak="0">
    <w:nsid w:val="5D2C3102"/>
    <w:multiLevelType w:val="hybridMultilevel"/>
    <w:tmpl w:val="99584334"/>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7" w15:restartNumberingAfterBreak="0">
    <w:nsid w:val="5E355798"/>
    <w:multiLevelType w:val="hybridMultilevel"/>
    <w:tmpl w:val="6EE6E83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8" w15:restartNumberingAfterBreak="0">
    <w:nsid w:val="619F5392"/>
    <w:multiLevelType w:val="hybridMultilevel"/>
    <w:tmpl w:val="8A90276C"/>
    <w:lvl w:ilvl="0" w:tplc="C212E33C">
      <w:start w:val="1"/>
      <w:numFmt w:val="bullet"/>
      <w:lvlText w:val=""/>
      <w:lvlJc w:val="left"/>
      <w:pPr>
        <w:tabs>
          <w:tab w:val="num" w:pos="720"/>
        </w:tabs>
        <w:ind w:left="720" w:hanging="360"/>
      </w:pPr>
      <w:rPr>
        <w:rFonts w:ascii="Wingdings" w:hAnsi="Wingdings" w:hint="default"/>
      </w:rPr>
    </w:lvl>
    <w:lvl w:ilvl="1" w:tplc="33BE84E0" w:tentative="1">
      <w:start w:val="1"/>
      <w:numFmt w:val="bullet"/>
      <w:lvlText w:val=""/>
      <w:lvlJc w:val="left"/>
      <w:pPr>
        <w:tabs>
          <w:tab w:val="num" w:pos="1440"/>
        </w:tabs>
        <w:ind w:left="1440" w:hanging="360"/>
      </w:pPr>
      <w:rPr>
        <w:rFonts w:ascii="Wingdings" w:hAnsi="Wingdings" w:hint="default"/>
      </w:rPr>
    </w:lvl>
    <w:lvl w:ilvl="2" w:tplc="F96E8212" w:tentative="1">
      <w:start w:val="1"/>
      <w:numFmt w:val="bullet"/>
      <w:lvlText w:val=""/>
      <w:lvlJc w:val="left"/>
      <w:pPr>
        <w:tabs>
          <w:tab w:val="num" w:pos="2160"/>
        </w:tabs>
        <w:ind w:left="2160" w:hanging="360"/>
      </w:pPr>
      <w:rPr>
        <w:rFonts w:ascii="Wingdings" w:hAnsi="Wingdings" w:hint="default"/>
      </w:rPr>
    </w:lvl>
    <w:lvl w:ilvl="3" w:tplc="7302B7F8" w:tentative="1">
      <w:start w:val="1"/>
      <w:numFmt w:val="bullet"/>
      <w:lvlText w:val=""/>
      <w:lvlJc w:val="left"/>
      <w:pPr>
        <w:tabs>
          <w:tab w:val="num" w:pos="2880"/>
        </w:tabs>
        <w:ind w:left="2880" w:hanging="360"/>
      </w:pPr>
      <w:rPr>
        <w:rFonts w:ascii="Wingdings" w:hAnsi="Wingdings" w:hint="default"/>
      </w:rPr>
    </w:lvl>
    <w:lvl w:ilvl="4" w:tplc="2D62696E" w:tentative="1">
      <w:start w:val="1"/>
      <w:numFmt w:val="bullet"/>
      <w:lvlText w:val=""/>
      <w:lvlJc w:val="left"/>
      <w:pPr>
        <w:tabs>
          <w:tab w:val="num" w:pos="3600"/>
        </w:tabs>
        <w:ind w:left="3600" w:hanging="360"/>
      </w:pPr>
      <w:rPr>
        <w:rFonts w:ascii="Wingdings" w:hAnsi="Wingdings" w:hint="default"/>
      </w:rPr>
    </w:lvl>
    <w:lvl w:ilvl="5" w:tplc="31A86840" w:tentative="1">
      <w:start w:val="1"/>
      <w:numFmt w:val="bullet"/>
      <w:lvlText w:val=""/>
      <w:lvlJc w:val="left"/>
      <w:pPr>
        <w:tabs>
          <w:tab w:val="num" w:pos="4320"/>
        </w:tabs>
        <w:ind w:left="4320" w:hanging="360"/>
      </w:pPr>
      <w:rPr>
        <w:rFonts w:ascii="Wingdings" w:hAnsi="Wingdings" w:hint="default"/>
      </w:rPr>
    </w:lvl>
    <w:lvl w:ilvl="6" w:tplc="B88A257A" w:tentative="1">
      <w:start w:val="1"/>
      <w:numFmt w:val="bullet"/>
      <w:lvlText w:val=""/>
      <w:lvlJc w:val="left"/>
      <w:pPr>
        <w:tabs>
          <w:tab w:val="num" w:pos="5040"/>
        </w:tabs>
        <w:ind w:left="5040" w:hanging="360"/>
      </w:pPr>
      <w:rPr>
        <w:rFonts w:ascii="Wingdings" w:hAnsi="Wingdings" w:hint="default"/>
      </w:rPr>
    </w:lvl>
    <w:lvl w:ilvl="7" w:tplc="319699B6" w:tentative="1">
      <w:start w:val="1"/>
      <w:numFmt w:val="bullet"/>
      <w:lvlText w:val=""/>
      <w:lvlJc w:val="left"/>
      <w:pPr>
        <w:tabs>
          <w:tab w:val="num" w:pos="5760"/>
        </w:tabs>
        <w:ind w:left="5760" w:hanging="360"/>
      </w:pPr>
      <w:rPr>
        <w:rFonts w:ascii="Wingdings" w:hAnsi="Wingdings" w:hint="default"/>
      </w:rPr>
    </w:lvl>
    <w:lvl w:ilvl="8" w:tplc="4CBEAE36" w:tentative="1">
      <w:start w:val="1"/>
      <w:numFmt w:val="bullet"/>
      <w:lvlText w:val=""/>
      <w:lvlJc w:val="left"/>
      <w:pPr>
        <w:tabs>
          <w:tab w:val="num" w:pos="6480"/>
        </w:tabs>
        <w:ind w:left="6480" w:hanging="360"/>
      </w:pPr>
      <w:rPr>
        <w:rFonts w:ascii="Wingdings" w:hAnsi="Wingdings" w:hint="default"/>
      </w:rPr>
    </w:lvl>
  </w:abstractNum>
  <w:abstractNum w:abstractNumId="59" w15:restartNumberingAfterBreak="0">
    <w:nsid w:val="64A31056"/>
    <w:multiLevelType w:val="hybridMultilevel"/>
    <w:tmpl w:val="F02AFB64"/>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0" w15:restartNumberingAfterBreak="0">
    <w:nsid w:val="6D9942EE"/>
    <w:multiLevelType w:val="hybridMultilevel"/>
    <w:tmpl w:val="A8A8C4A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1" w15:restartNumberingAfterBreak="0">
    <w:nsid w:val="7202077D"/>
    <w:multiLevelType w:val="hybridMultilevel"/>
    <w:tmpl w:val="F9F48D6E"/>
    <w:lvl w:ilvl="0" w:tplc="2D5C914A">
      <w:start w:val="1"/>
      <w:numFmt w:val="bullet"/>
      <w:lvlText w:val=""/>
      <w:lvlJc w:val="left"/>
      <w:pPr>
        <w:tabs>
          <w:tab w:val="num" w:pos="720"/>
        </w:tabs>
        <w:ind w:left="720" w:hanging="360"/>
      </w:pPr>
      <w:rPr>
        <w:rFonts w:ascii="Wingdings" w:hAnsi="Wingdings" w:hint="default"/>
      </w:rPr>
    </w:lvl>
    <w:lvl w:ilvl="1" w:tplc="49BC2984" w:tentative="1">
      <w:start w:val="1"/>
      <w:numFmt w:val="bullet"/>
      <w:lvlText w:val=""/>
      <w:lvlJc w:val="left"/>
      <w:pPr>
        <w:tabs>
          <w:tab w:val="num" w:pos="1440"/>
        </w:tabs>
        <w:ind w:left="1440" w:hanging="360"/>
      </w:pPr>
      <w:rPr>
        <w:rFonts w:ascii="Wingdings" w:hAnsi="Wingdings" w:hint="default"/>
      </w:rPr>
    </w:lvl>
    <w:lvl w:ilvl="2" w:tplc="02EA34B8" w:tentative="1">
      <w:start w:val="1"/>
      <w:numFmt w:val="bullet"/>
      <w:lvlText w:val=""/>
      <w:lvlJc w:val="left"/>
      <w:pPr>
        <w:tabs>
          <w:tab w:val="num" w:pos="2160"/>
        </w:tabs>
        <w:ind w:left="2160" w:hanging="360"/>
      </w:pPr>
      <w:rPr>
        <w:rFonts w:ascii="Wingdings" w:hAnsi="Wingdings" w:hint="default"/>
      </w:rPr>
    </w:lvl>
    <w:lvl w:ilvl="3" w:tplc="ED9AF198" w:tentative="1">
      <w:start w:val="1"/>
      <w:numFmt w:val="bullet"/>
      <w:lvlText w:val=""/>
      <w:lvlJc w:val="left"/>
      <w:pPr>
        <w:tabs>
          <w:tab w:val="num" w:pos="2880"/>
        </w:tabs>
        <w:ind w:left="2880" w:hanging="360"/>
      </w:pPr>
      <w:rPr>
        <w:rFonts w:ascii="Wingdings" w:hAnsi="Wingdings" w:hint="default"/>
      </w:rPr>
    </w:lvl>
    <w:lvl w:ilvl="4" w:tplc="194E276E" w:tentative="1">
      <w:start w:val="1"/>
      <w:numFmt w:val="bullet"/>
      <w:lvlText w:val=""/>
      <w:lvlJc w:val="left"/>
      <w:pPr>
        <w:tabs>
          <w:tab w:val="num" w:pos="3600"/>
        </w:tabs>
        <w:ind w:left="3600" w:hanging="360"/>
      </w:pPr>
      <w:rPr>
        <w:rFonts w:ascii="Wingdings" w:hAnsi="Wingdings" w:hint="default"/>
      </w:rPr>
    </w:lvl>
    <w:lvl w:ilvl="5" w:tplc="0024ADE6" w:tentative="1">
      <w:start w:val="1"/>
      <w:numFmt w:val="bullet"/>
      <w:lvlText w:val=""/>
      <w:lvlJc w:val="left"/>
      <w:pPr>
        <w:tabs>
          <w:tab w:val="num" w:pos="4320"/>
        </w:tabs>
        <w:ind w:left="4320" w:hanging="360"/>
      </w:pPr>
      <w:rPr>
        <w:rFonts w:ascii="Wingdings" w:hAnsi="Wingdings" w:hint="default"/>
      </w:rPr>
    </w:lvl>
    <w:lvl w:ilvl="6" w:tplc="013A73CA" w:tentative="1">
      <w:start w:val="1"/>
      <w:numFmt w:val="bullet"/>
      <w:lvlText w:val=""/>
      <w:lvlJc w:val="left"/>
      <w:pPr>
        <w:tabs>
          <w:tab w:val="num" w:pos="5040"/>
        </w:tabs>
        <w:ind w:left="5040" w:hanging="360"/>
      </w:pPr>
      <w:rPr>
        <w:rFonts w:ascii="Wingdings" w:hAnsi="Wingdings" w:hint="default"/>
      </w:rPr>
    </w:lvl>
    <w:lvl w:ilvl="7" w:tplc="A87669CE" w:tentative="1">
      <w:start w:val="1"/>
      <w:numFmt w:val="bullet"/>
      <w:lvlText w:val=""/>
      <w:lvlJc w:val="left"/>
      <w:pPr>
        <w:tabs>
          <w:tab w:val="num" w:pos="5760"/>
        </w:tabs>
        <w:ind w:left="5760" w:hanging="360"/>
      </w:pPr>
      <w:rPr>
        <w:rFonts w:ascii="Wingdings" w:hAnsi="Wingdings" w:hint="default"/>
      </w:rPr>
    </w:lvl>
    <w:lvl w:ilvl="8" w:tplc="9E3C10FE" w:tentative="1">
      <w:start w:val="1"/>
      <w:numFmt w:val="bullet"/>
      <w:lvlText w:val=""/>
      <w:lvlJc w:val="left"/>
      <w:pPr>
        <w:tabs>
          <w:tab w:val="num" w:pos="6480"/>
        </w:tabs>
        <w:ind w:left="6480" w:hanging="360"/>
      </w:pPr>
      <w:rPr>
        <w:rFonts w:ascii="Wingdings" w:hAnsi="Wingdings" w:hint="default"/>
      </w:rPr>
    </w:lvl>
  </w:abstractNum>
  <w:abstractNum w:abstractNumId="62" w15:restartNumberingAfterBreak="0">
    <w:nsid w:val="724332D4"/>
    <w:multiLevelType w:val="hybridMultilevel"/>
    <w:tmpl w:val="5CF0E5AE"/>
    <w:lvl w:ilvl="0" w:tplc="CE3C6EFC">
      <w:start w:val="1"/>
      <w:numFmt w:val="bullet"/>
      <w:lvlText w:val=""/>
      <w:lvlJc w:val="left"/>
      <w:pPr>
        <w:tabs>
          <w:tab w:val="num" w:pos="720"/>
        </w:tabs>
        <w:ind w:left="720" w:hanging="360"/>
      </w:pPr>
      <w:rPr>
        <w:rFonts w:ascii="Wingdings" w:hAnsi="Wingdings" w:hint="default"/>
      </w:rPr>
    </w:lvl>
    <w:lvl w:ilvl="1" w:tplc="4B8234D6" w:tentative="1">
      <w:start w:val="1"/>
      <w:numFmt w:val="bullet"/>
      <w:lvlText w:val=""/>
      <w:lvlJc w:val="left"/>
      <w:pPr>
        <w:tabs>
          <w:tab w:val="num" w:pos="1440"/>
        </w:tabs>
        <w:ind w:left="1440" w:hanging="360"/>
      </w:pPr>
      <w:rPr>
        <w:rFonts w:ascii="Wingdings" w:hAnsi="Wingdings" w:hint="default"/>
      </w:rPr>
    </w:lvl>
    <w:lvl w:ilvl="2" w:tplc="4DE47452" w:tentative="1">
      <w:start w:val="1"/>
      <w:numFmt w:val="bullet"/>
      <w:lvlText w:val=""/>
      <w:lvlJc w:val="left"/>
      <w:pPr>
        <w:tabs>
          <w:tab w:val="num" w:pos="2160"/>
        </w:tabs>
        <w:ind w:left="2160" w:hanging="360"/>
      </w:pPr>
      <w:rPr>
        <w:rFonts w:ascii="Wingdings" w:hAnsi="Wingdings" w:hint="default"/>
      </w:rPr>
    </w:lvl>
    <w:lvl w:ilvl="3" w:tplc="CAC09D40" w:tentative="1">
      <w:start w:val="1"/>
      <w:numFmt w:val="bullet"/>
      <w:lvlText w:val=""/>
      <w:lvlJc w:val="left"/>
      <w:pPr>
        <w:tabs>
          <w:tab w:val="num" w:pos="2880"/>
        </w:tabs>
        <w:ind w:left="2880" w:hanging="360"/>
      </w:pPr>
      <w:rPr>
        <w:rFonts w:ascii="Wingdings" w:hAnsi="Wingdings" w:hint="default"/>
      </w:rPr>
    </w:lvl>
    <w:lvl w:ilvl="4" w:tplc="33406CFA" w:tentative="1">
      <w:start w:val="1"/>
      <w:numFmt w:val="bullet"/>
      <w:lvlText w:val=""/>
      <w:lvlJc w:val="left"/>
      <w:pPr>
        <w:tabs>
          <w:tab w:val="num" w:pos="3600"/>
        </w:tabs>
        <w:ind w:left="3600" w:hanging="360"/>
      </w:pPr>
      <w:rPr>
        <w:rFonts w:ascii="Wingdings" w:hAnsi="Wingdings" w:hint="default"/>
      </w:rPr>
    </w:lvl>
    <w:lvl w:ilvl="5" w:tplc="3F1EB1D2" w:tentative="1">
      <w:start w:val="1"/>
      <w:numFmt w:val="bullet"/>
      <w:lvlText w:val=""/>
      <w:lvlJc w:val="left"/>
      <w:pPr>
        <w:tabs>
          <w:tab w:val="num" w:pos="4320"/>
        </w:tabs>
        <w:ind w:left="4320" w:hanging="360"/>
      </w:pPr>
      <w:rPr>
        <w:rFonts w:ascii="Wingdings" w:hAnsi="Wingdings" w:hint="default"/>
      </w:rPr>
    </w:lvl>
    <w:lvl w:ilvl="6" w:tplc="34FAC300" w:tentative="1">
      <w:start w:val="1"/>
      <w:numFmt w:val="bullet"/>
      <w:lvlText w:val=""/>
      <w:lvlJc w:val="left"/>
      <w:pPr>
        <w:tabs>
          <w:tab w:val="num" w:pos="5040"/>
        </w:tabs>
        <w:ind w:left="5040" w:hanging="360"/>
      </w:pPr>
      <w:rPr>
        <w:rFonts w:ascii="Wingdings" w:hAnsi="Wingdings" w:hint="default"/>
      </w:rPr>
    </w:lvl>
    <w:lvl w:ilvl="7" w:tplc="83FE1B64" w:tentative="1">
      <w:start w:val="1"/>
      <w:numFmt w:val="bullet"/>
      <w:lvlText w:val=""/>
      <w:lvlJc w:val="left"/>
      <w:pPr>
        <w:tabs>
          <w:tab w:val="num" w:pos="5760"/>
        </w:tabs>
        <w:ind w:left="5760" w:hanging="360"/>
      </w:pPr>
      <w:rPr>
        <w:rFonts w:ascii="Wingdings" w:hAnsi="Wingdings" w:hint="default"/>
      </w:rPr>
    </w:lvl>
    <w:lvl w:ilvl="8" w:tplc="0CA20B96" w:tentative="1">
      <w:start w:val="1"/>
      <w:numFmt w:val="bullet"/>
      <w:lvlText w:val=""/>
      <w:lvlJc w:val="left"/>
      <w:pPr>
        <w:tabs>
          <w:tab w:val="num" w:pos="6480"/>
        </w:tabs>
        <w:ind w:left="6480" w:hanging="360"/>
      </w:pPr>
      <w:rPr>
        <w:rFonts w:ascii="Wingdings" w:hAnsi="Wingdings" w:hint="default"/>
      </w:rPr>
    </w:lvl>
  </w:abstractNum>
  <w:abstractNum w:abstractNumId="63" w15:restartNumberingAfterBreak="0">
    <w:nsid w:val="741E6D22"/>
    <w:multiLevelType w:val="hybridMultilevel"/>
    <w:tmpl w:val="61B840D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4" w15:restartNumberingAfterBreak="0">
    <w:nsid w:val="76EE6077"/>
    <w:multiLevelType w:val="hybridMultilevel"/>
    <w:tmpl w:val="1BF4DB46"/>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5" w15:restartNumberingAfterBreak="0">
    <w:nsid w:val="79B85D1D"/>
    <w:multiLevelType w:val="hybridMultilevel"/>
    <w:tmpl w:val="C12AE23A"/>
    <w:lvl w:ilvl="0" w:tplc="50E6F51E">
      <w:start w:val="1"/>
      <w:numFmt w:val="bullet"/>
      <w:lvlText w:val=""/>
      <w:lvlJc w:val="left"/>
      <w:pPr>
        <w:tabs>
          <w:tab w:val="num" w:pos="720"/>
        </w:tabs>
        <w:ind w:left="720" w:hanging="360"/>
      </w:pPr>
      <w:rPr>
        <w:rFonts w:ascii="Wingdings" w:hAnsi="Wingdings" w:hint="default"/>
      </w:rPr>
    </w:lvl>
    <w:lvl w:ilvl="1" w:tplc="1C486396" w:tentative="1">
      <w:start w:val="1"/>
      <w:numFmt w:val="bullet"/>
      <w:lvlText w:val=""/>
      <w:lvlJc w:val="left"/>
      <w:pPr>
        <w:tabs>
          <w:tab w:val="num" w:pos="1440"/>
        </w:tabs>
        <w:ind w:left="1440" w:hanging="360"/>
      </w:pPr>
      <w:rPr>
        <w:rFonts w:ascii="Wingdings" w:hAnsi="Wingdings" w:hint="default"/>
      </w:rPr>
    </w:lvl>
    <w:lvl w:ilvl="2" w:tplc="CEE82EB6" w:tentative="1">
      <w:start w:val="1"/>
      <w:numFmt w:val="bullet"/>
      <w:lvlText w:val=""/>
      <w:lvlJc w:val="left"/>
      <w:pPr>
        <w:tabs>
          <w:tab w:val="num" w:pos="2160"/>
        </w:tabs>
        <w:ind w:left="2160" w:hanging="360"/>
      </w:pPr>
      <w:rPr>
        <w:rFonts w:ascii="Wingdings" w:hAnsi="Wingdings" w:hint="default"/>
      </w:rPr>
    </w:lvl>
    <w:lvl w:ilvl="3" w:tplc="77D48CC2" w:tentative="1">
      <w:start w:val="1"/>
      <w:numFmt w:val="bullet"/>
      <w:lvlText w:val=""/>
      <w:lvlJc w:val="left"/>
      <w:pPr>
        <w:tabs>
          <w:tab w:val="num" w:pos="2880"/>
        </w:tabs>
        <w:ind w:left="2880" w:hanging="360"/>
      </w:pPr>
      <w:rPr>
        <w:rFonts w:ascii="Wingdings" w:hAnsi="Wingdings" w:hint="default"/>
      </w:rPr>
    </w:lvl>
    <w:lvl w:ilvl="4" w:tplc="918C4752" w:tentative="1">
      <w:start w:val="1"/>
      <w:numFmt w:val="bullet"/>
      <w:lvlText w:val=""/>
      <w:lvlJc w:val="left"/>
      <w:pPr>
        <w:tabs>
          <w:tab w:val="num" w:pos="3600"/>
        </w:tabs>
        <w:ind w:left="3600" w:hanging="360"/>
      </w:pPr>
      <w:rPr>
        <w:rFonts w:ascii="Wingdings" w:hAnsi="Wingdings" w:hint="default"/>
      </w:rPr>
    </w:lvl>
    <w:lvl w:ilvl="5" w:tplc="A5CC0960" w:tentative="1">
      <w:start w:val="1"/>
      <w:numFmt w:val="bullet"/>
      <w:lvlText w:val=""/>
      <w:lvlJc w:val="left"/>
      <w:pPr>
        <w:tabs>
          <w:tab w:val="num" w:pos="4320"/>
        </w:tabs>
        <w:ind w:left="4320" w:hanging="360"/>
      </w:pPr>
      <w:rPr>
        <w:rFonts w:ascii="Wingdings" w:hAnsi="Wingdings" w:hint="default"/>
      </w:rPr>
    </w:lvl>
    <w:lvl w:ilvl="6" w:tplc="2AECF7E4" w:tentative="1">
      <w:start w:val="1"/>
      <w:numFmt w:val="bullet"/>
      <w:lvlText w:val=""/>
      <w:lvlJc w:val="left"/>
      <w:pPr>
        <w:tabs>
          <w:tab w:val="num" w:pos="5040"/>
        </w:tabs>
        <w:ind w:left="5040" w:hanging="360"/>
      </w:pPr>
      <w:rPr>
        <w:rFonts w:ascii="Wingdings" w:hAnsi="Wingdings" w:hint="default"/>
      </w:rPr>
    </w:lvl>
    <w:lvl w:ilvl="7" w:tplc="73AE4BC8" w:tentative="1">
      <w:start w:val="1"/>
      <w:numFmt w:val="bullet"/>
      <w:lvlText w:val=""/>
      <w:lvlJc w:val="left"/>
      <w:pPr>
        <w:tabs>
          <w:tab w:val="num" w:pos="5760"/>
        </w:tabs>
        <w:ind w:left="5760" w:hanging="360"/>
      </w:pPr>
      <w:rPr>
        <w:rFonts w:ascii="Wingdings" w:hAnsi="Wingdings" w:hint="default"/>
      </w:rPr>
    </w:lvl>
    <w:lvl w:ilvl="8" w:tplc="CF3A9846" w:tentative="1">
      <w:start w:val="1"/>
      <w:numFmt w:val="bullet"/>
      <w:lvlText w:val=""/>
      <w:lvlJc w:val="left"/>
      <w:pPr>
        <w:tabs>
          <w:tab w:val="num" w:pos="6480"/>
        </w:tabs>
        <w:ind w:left="6480" w:hanging="360"/>
      </w:pPr>
      <w:rPr>
        <w:rFonts w:ascii="Wingdings" w:hAnsi="Wingdings" w:hint="default"/>
      </w:rPr>
    </w:lvl>
  </w:abstractNum>
  <w:abstractNum w:abstractNumId="66" w15:restartNumberingAfterBreak="0">
    <w:nsid w:val="7A851A3F"/>
    <w:multiLevelType w:val="hybridMultilevel"/>
    <w:tmpl w:val="365266E6"/>
    <w:lvl w:ilvl="0" w:tplc="EC96C7EA">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7" w15:restartNumberingAfterBreak="0">
    <w:nsid w:val="7B083066"/>
    <w:multiLevelType w:val="hybridMultilevel"/>
    <w:tmpl w:val="38B0021C"/>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8" w15:restartNumberingAfterBreak="0">
    <w:nsid w:val="7F2348CA"/>
    <w:multiLevelType w:val="hybridMultilevel"/>
    <w:tmpl w:val="FCE0CC14"/>
    <w:lvl w:ilvl="0" w:tplc="040C000D">
      <w:start w:val="1"/>
      <w:numFmt w:val="bullet"/>
      <w:lvlText w:val=""/>
      <w:lvlJc w:val="left"/>
      <w:pPr>
        <w:ind w:left="768" w:hanging="360"/>
      </w:pPr>
      <w:rPr>
        <w:rFonts w:ascii="Wingdings" w:hAnsi="Wingdings" w:hint="default"/>
      </w:rPr>
    </w:lvl>
    <w:lvl w:ilvl="1" w:tplc="040C0003" w:tentative="1">
      <w:start w:val="1"/>
      <w:numFmt w:val="bullet"/>
      <w:lvlText w:val="o"/>
      <w:lvlJc w:val="left"/>
      <w:pPr>
        <w:ind w:left="1488" w:hanging="360"/>
      </w:pPr>
      <w:rPr>
        <w:rFonts w:ascii="Courier New" w:hAnsi="Courier New" w:cs="Courier New" w:hint="default"/>
      </w:rPr>
    </w:lvl>
    <w:lvl w:ilvl="2" w:tplc="040C0005" w:tentative="1">
      <w:start w:val="1"/>
      <w:numFmt w:val="bullet"/>
      <w:lvlText w:val=""/>
      <w:lvlJc w:val="left"/>
      <w:pPr>
        <w:ind w:left="2208" w:hanging="360"/>
      </w:pPr>
      <w:rPr>
        <w:rFonts w:ascii="Wingdings" w:hAnsi="Wingdings" w:hint="default"/>
      </w:rPr>
    </w:lvl>
    <w:lvl w:ilvl="3" w:tplc="040C0001" w:tentative="1">
      <w:start w:val="1"/>
      <w:numFmt w:val="bullet"/>
      <w:lvlText w:val=""/>
      <w:lvlJc w:val="left"/>
      <w:pPr>
        <w:ind w:left="2928" w:hanging="360"/>
      </w:pPr>
      <w:rPr>
        <w:rFonts w:ascii="Symbol" w:hAnsi="Symbol" w:hint="default"/>
      </w:rPr>
    </w:lvl>
    <w:lvl w:ilvl="4" w:tplc="040C0003" w:tentative="1">
      <w:start w:val="1"/>
      <w:numFmt w:val="bullet"/>
      <w:lvlText w:val="o"/>
      <w:lvlJc w:val="left"/>
      <w:pPr>
        <w:ind w:left="3648" w:hanging="360"/>
      </w:pPr>
      <w:rPr>
        <w:rFonts w:ascii="Courier New" w:hAnsi="Courier New" w:cs="Courier New" w:hint="default"/>
      </w:rPr>
    </w:lvl>
    <w:lvl w:ilvl="5" w:tplc="040C0005" w:tentative="1">
      <w:start w:val="1"/>
      <w:numFmt w:val="bullet"/>
      <w:lvlText w:val=""/>
      <w:lvlJc w:val="left"/>
      <w:pPr>
        <w:ind w:left="4368" w:hanging="360"/>
      </w:pPr>
      <w:rPr>
        <w:rFonts w:ascii="Wingdings" w:hAnsi="Wingdings" w:hint="default"/>
      </w:rPr>
    </w:lvl>
    <w:lvl w:ilvl="6" w:tplc="040C0001" w:tentative="1">
      <w:start w:val="1"/>
      <w:numFmt w:val="bullet"/>
      <w:lvlText w:val=""/>
      <w:lvlJc w:val="left"/>
      <w:pPr>
        <w:ind w:left="5088" w:hanging="360"/>
      </w:pPr>
      <w:rPr>
        <w:rFonts w:ascii="Symbol" w:hAnsi="Symbol" w:hint="default"/>
      </w:rPr>
    </w:lvl>
    <w:lvl w:ilvl="7" w:tplc="040C0003" w:tentative="1">
      <w:start w:val="1"/>
      <w:numFmt w:val="bullet"/>
      <w:lvlText w:val="o"/>
      <w:lvlJc w:val="left"/>
      <w:pPr>
        <w:ind w:left="5808" w:hanging="360"/>
      </w:pPr>
      <w:rPr>
        <w:rFonts w:ascii="Courier New" w:hAnsi="Courier New" w:cs="Courier New" w:hint="default"/>
      </w:rPr>
    </w:lvl>
    <w:lvl w:ilvl="8" w:tplc="040C0005" w:tentative="1">
      <w:start w:val="1"/>
      <w:numFmt w:val="bullet"/>
      <w:lvlText w:val=""/>
      <w:lvlJc w:val="left"/>
      <w:pPr>
        <w:ind w:left="6528" w:hanging="360"/>
      </w:pPr>
      <w:rPr>
        <w:rFonts w:ascii="Wingdings" w:hAnsi="Wingdings" w:hint="default"/>
      </w:rPr>
    </w:lvl>
  </w:abstractNum>
  <w:abstractNum w:abstractNumId="69" w15:restartNumberingAfterBreak="0">
    <w:nsid w:val="7FD722AA"/>
    <w:multiLevelType w:val="hybridMultilevel"/>
    <w:tmpl w:val="90A0D574"/>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2"/>
  </w:num>
  <w:num w:numId="2">
    <w:abstractNumId w:val="69"/>
  </w:num>
  <w:num w:numId="3">
    <w:abstractNumId w:val="15"/>
  </w:num>
  <w:num w:numId="4">
    <w:abstractNumId w:val="62"/>
  </w:num>
  <w:num w:numId="5">
    <w:abstractNumId w:val="53"/>
  </w:num>
  <w:num w:numId="6">
    <w:abstractNumId w:val="61"/>
  </w:num>
  <w:num w:numId="7">
    <w:abstractNumId w:val="10"/>
  </w:num>
  <w:num w:numId="8">
    <w:abstractNumId w:val="58"/>
  </w:num>
  <w:num w:numId="9">
    <w:abstractNumId w:val="31"/>
  </w:num>
  <w:num w:numId="10">
    <w:abstractNumId w:val="11"/>
  </w:num>
  <w:num w:numId="11">
    <w:abstractNumId w:val="65"/>
  </w:num>
  <w:num w:numId="12">
    <w:abstractNumId w:val="1"/>
  </w:num>
  <w:num w:numId="13">
    <w:abstractNumId w:val="32"/>
  </w:num>
  <w:num w:numId="14">
    <w:abstractNumId w:val="12"/>
  </w:num>
  <w:num w:numId="15">
    <w:abstractNumId w:val="33"/>
  </w:num>
  <w:num w:numId="16">
    <w:abstractNumId w:val="63"/>
  </w:num>
  <w:num w:numId="17">
    <w:abstractNumId w:val="57"/>
  </w:num>
  <w:num w:numId="18">
    <w:abstractNumId w:val="26"/>
  </w:num>
  <w:num w:numId="19">
    <w:abstractNumId w:val="60"/>
  </w:num>
  <w:num w:numId="20">
    <w:abstractNumId w:val="67"/>
  </w:num>
  <w:num w:numId="21">
    <w:abstractNumId w:val="68"/>
  </w:num>
  <w:num w:numId="22">
    <w:abstractNumId w:val="19"/>
  </w:num>
  <w:num w:numId="23">
    <w:abstractNumId w:val="48"/>
  </w:num>
  <w:num w:numId="24">
    <w:abstractNumId w:val="52"/>
  </w:num>
  <w:num w:numId="25">
    <w:abstractNumId w:val="41"/>
  </w:num>
  <w:num w:numId="26">
    <w:abstractNumId w:val="29"/>
  </w:num>
  <w:num w:numId="27">
    <w:abstractNumId w:val="22"/>
  </w:num>
  <w:num w:numId="28">
    <w:abstractNumId w:val="66"/>
  </w:num>
  <w:num w:numId="29">
    <w:abstractNumId w:val="25"/>
  </w:num>
  <w:num w:numId="30">
    <w:abstractNumId w:val="24"/>
  </w:num>
  <w:num w:numId="31">
    <w:abstractNumId w:val="56"/>
  </w:num>
  <w:num w:numId="32">
    <w:abstractNumId w:val="23"/>
  </w:num>
  <w:num w:numId="33">
    <w:abstractNumId w:val="3"/>
  </w:num>
  <w:num w:numId="34">
    <w:abstractNumId w:val="45"/>
  </w:num>
  <w:num w:numId="35">
    <w:abstractNumId w:val="21"/>
  </w:num>
  <w:num w:numId="36">
    <w:abstractNumId w:val="42"/>
  </w:num>
  <w:num w:numId="37">
    <w:abstractNumId w:val="4"/>
  </w:num>
  <w:num w:numId="38">
    <w:abstractNumId w:val="34"/>
  </w:num>
  <w:num w:numId="39">
    <w:abstractNumId w:val="22"/>
  </w:num>
  <w:num w:numId="40">
    <w:abstractNumId w:val="22"/>
  </w:num>
  <w:num w:numId="41">
    <w:abstractNumId w:val="8"/>
  </w:num>
  <w:num w:numId="42">
    <w:abstractNumId w:val="30"/>
  </w:num>
  <w:num w:numId="43">
    <w:abstractNumId w:val="46"/>
  </w:num>
  <w:num w:numId="44">
    <w:abstractNumId w:val="0"/>
  </w:num>
  <w:num w:numId="45">
    <w:abstractNumId w:val="64"/>
  </w:num>
  <w:num w:numId="46">
    <w:abstractNumId w:val="43"/>
  </w:num>
  <w:num w:numId="47">
    <w:abstractNumId w:val="28"/>
  </w:num>
  <w:num w:numId="48">
    <w:abstractNumId w:val="40"/>
  </w:num>
  <w:num w:numId="49">
    <w:abstractNumId w:val="39"/>
  </w:num>
  <w:num w:numId="50">
    <w:abstractNumId w:val="54"/>
  </w:num>
  <w:num w:numId="51">
    <w:abstractNumId w:val="16"/>
  </w:num>
  <w:num w:numId="52">
    <w:abstractNumId w:val="37"/>
  </w:num>
  <w:num w:numId="53">
    <w:abstractNumId w:val="55"/>
  </w:num>
  <w:num w:numId="54">
    <w:abstractNumId w:val="27"/>
  </w:num>
  <w:num w:numId="55">
    <w:abstractNumId w:val="44"/>
  </w:num>
  <w:num w:numId="56">
    <w:abstractNumId w:val="17"/>
  </w:num>
  <w:num w:numId="57">
    <w:abstractNumId w:val="6"/>
  </w:num>
  <w:num w:numId="58">
    <w:abstractNumId w:val="49"/>
  </w:num>
  <w:num w:numId="59">
    <w:abstractNumId w:val="50"/>
  </w:num>
  <w:num w:numId="60">
    <w:abstractNumId w:val="2"/>
  </w:num>
  <w:num w:numId="61">
    <w:abstractNumId w:val="47"/>
  </w:num>
  <w:num w:numId="62">
    <w:abstractNumId w:val="7"/>
  </w:num>
  <w:num w:numId="6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9"/>
  </w:num>
  <w:num w:numId="68">
    <w:abstractNumId w:val="5"/>
  </w:num>
  <w:num w:numId="69">
    <w:abstractNumId w:val="36"/>
  </w:num>
  <w:num w:numId="70">
    <w:abstractNumId w:val="13"/>
  </w:num>
  <w:num w:numId="71">
    <w:abstractNumId w:val="18"/>
  </w:num>
  <w:num w:numId="72">
    <w:abstractNumId w:val="59"/>
  </w:num>
  <w:num w:numId="73">
    <w:abstractNumId w:val="20"/>
  </w:num>
  <w:num w:numId="74">
    <w:abstractNumId w:val="14"/>
  </w:num>
  <w:num w:numId="75">
    <w:abstractNumId w:val="51"/>
  </w:num>
  <w:num w:numId="76">
    <w:abstractNumId w:val="38"/>
  </w:num>
  <w:num w:numId="77">
    <w:abstractNumId w:val="35"/>
  </w:num>
  <w:numIdMacAtCleanup w:val="7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savePreviewPicture/>
  <w:footnotePr>
    <w:footnote w:id="-1"/>
    <w:footnote w:id="0"/>
    <w:footnote w:id="1"/>
  </w:footnotePr>
  <w:endnotePr>
    <w:endnote w:id="-1"/>
    <w:endnote w:id="0"/>
    <w:endnote w:id="1"/>
  </w:endnotePr>
  <w:compat>
    <w:compatSetting w:name="compatibilityMode" w:uri="http://schemas.microsoft.com/office/word" w:val="12"/>
  </w:compat>
  <w:rsids>
    <w:rsidRoot w:val="00647D81"/>
    <w:rsid w:val="000004B6"/>
    <w:rsid w:val="00004549"/>
    <w:rsid w:val="000062B1"/>
    <w:rsid w:val="00007C28"/>
    <w:rsid w:val="00011506"/>
    <w:rsid w:val="000131E5"/>
    <w:rsid w:val="00014844"/>
    <w:rsid w:val="00016CD3"/>
    <w:rsid w:val="0002433A"/>
    <w:rsid w:val="00030914"/>
    <w:rsid w:val="00031225"/>
    <w:rsid w:val="00035AAC"/>
    <w:rsid w:val="00042999"/>
    <w:rsid w:val="00046A78"/>
    <w:rsid w:val="0004724A"/>
    <w:rsid w:val="00061BD0"/>
    <w:rsid w:val="00064841"/>
    <w:rsid w:val="00066450"/>
    <w:rsid w:val="000674F9"/>
    <w:rsid w:val="00071988"/>
    <w:rsid w:val="000734FC"/>
    <w:rsid w:val="000740B3"/>
    <w:rsid w:val="0008469C"/>
    <w:rsid w:val="0009163C"/>
    <w:rsid w:val="000920D2"/>
    <w:rsid w:val="00092344"/>
    <w:rsid w:val="000949BE"/>
    <w:rsid w:val="00097DCB"/>
    <w:rsid w:val="000B1E18"/>
    <w:rsid w:val="000C48F8"/>
    <w:rsid w:val="000C7207"/>
    <w:rsid w:val="000D6D1B"/>
    <w:rsid w:val="000F0042"/>
    <w:rsid w:val="000F19CE"/>
    <w:rsid w:val="000F2EF0"/>
    <w:rsid w:val="000F60D0"/>
    <w:rsid w:val="000F7D33"/>
    <w:rsid w:val="00101018"/>
    <w:rsid w:val="00104B7A"/>
    <w:rsid w:val="00105877"/>
    <w:rsid w:val="001116BB"/>
    <w:rsid w:val="00112EE9"/>
    <w:rsid w:val="00113683"/>
    <w:rsid w:val="00123FFD"/>
    <w:rsid w:val="00124133"/>
    <w:rsid w:val="00125AC7"/>
    <w:rsid w:val="00127209"/>
    <w:rsid w:val="0013068D"/>
    <w:rsid w:val="00133971"/>
    <w:rsid w:val="00137E10"/>
    <w:rsid w:val="001421BA"/>
    <w:rsid w:val="00145B4B"/>
    <w:rsid w:val="00147593"/>
    <w:rsid w:val="00151092"/>
    <w:rsid w:val="001528A1"/>
    <w:rsid w:val="00155B74"/>
    <w:rsid w:val="00156302"/>
    <w:rsid w:val="00156D70"/>
    <w:rsid w:val="00164006"/>
    <w:rsid w:val="001665D5"/>
    <w:rsid w:val="001705C3"/>
    <w:rsid w:val="001725BA"/>
    <w:rsid w:val="001754BB"/>
    <w:rsid w:val="001D113D"/>
    <w:rsid w:val="001D1286"/>
    <w:rsid w:val="001D1420"/>
    <w:rsid w:val="001D2BFF"/>
    <w:rsid w:val="001D6781"/>
    <w:rsid w:val="001D6EDB"/>
    <w:rsid w:val="001E0D2B"/>
    <w:rsid w:val="001E32AF"/>
    <w:rsid w:val="001E5350"/>
    <w:rsid w:val="001E7A85"/>
    <w:rsid w:val="001E7BCE"/>
    <w:rsid w:val="001F0065"/>
    <w:rsid w:val="001F1C8B"/>
    <w:rsid w:val="001F301F"/>
    <w:rsid w:val="001F32BC"/>
    <w:rsid w:val="001F40E8"/>
    <w:rsid w:val="001F60BC"/>
    <w:rsid w:val="00201CB1"/>
    <w:rsid w:val="00202222"/>
    <w:rsid w:val="002038CA"/>
    <w:rsid w:val="0020415B"/>
    <w:rsid w:val="00213E73"/>
    <w:rsid w:val="00216412"/>
    <w:rsid w:val="00217AAE"/>
    <w:rsid w:val="002208AE"/>
    <w:rsid w:val="00221DAF"/>
    <w:rsid w:val="0022409F"/>
    <w:rsid w:val="00224F2E"/>
    <w:rsid w:val="002310CF"/>
    <w:rsid w:val="00234227"/>
    <w:rsid w:val="002431B0"/>
    <w:rsid w:val="00245A6F"/>
    <w:rsid w:val="0025332E"/>
    <w:rsid w:val="002560DE"/>
    <w:rsid w:val="002614AB"/>
    <w:rsid w:val="00262CBA"/>
    <w:rsid w:val="002666DA"/>
    <w:rsid w:val="00266A36"/>
    <w:rsid w:val="00270CE2"/>
    <w:rsid w:val="00272D9C"/>
    <w:rsid w:val="00275A95"/>
    <w:rsid w:val="00276787"/>
    <w:rsid w:val="00283263"/>
    <w:rsid w:val="002845C8"/>
    <w:rsid w:val="002846B1"/>
    <w:rsid w:val="00285C33"/>
    <w:rsid w:val="00291989"/>
    <w:rsid w:val="00296EE2"/>
    <w:rsid w:val="002A4709"/>
    <w:rsid w:val="002B43D9"/>
    <w:rsid w:val="002C0F6D"/>
    <w:rsid w:val="002C34D3"/>
    <w:rsid w:val="002C4687"/>
    <w:rsid w:val="002F1E0B"/>
    <w:rsid w:val="002F3C4B"/>
    <w:rsid w:val="00301000"/>
    <w:rsid w:val="00305208"/>
    <w:rsid w:val="00313C7B"/>
    <w:rsid w:val="0031488A"/>
    <w:rsid w:val="003154FC"/>
    <w:rsid w:val="003221E0"/>
    <w:rsid w:val="00327F26"/>
    <w:rsid w:val="00333190"/>
    <w:rsid w:val="00340CA3"/>
    <w:rsid w:val="00342C8B"/>
    <w:rsid w:val="003441BF"/>
    <w:rsid w:val="00347348"/>
    <w:rsid w:val="00352329"/>
    <w:rsid w:val="00357D27"/>
    <w:rsid w:val="00377172"/>
    <w:rsid w:val="00383C79"/>
    <w:rsid w:val="00396E1B"/>
    <w:rsid w:val="003B11C5"/>
    <w:rsid w:val="003C7156"/>
    <w:rsid w:val="003D2151"/>
    <w:rsid w:val="003E6EFA"/>
    <w:rsid w:val="003F274E"/>
    <w:rsid w:val="003F304B"/>
    <w:rsid w:val="00401831"/>
    <w:rsid w:val="00404141"/>
    <w:rsid w:val="00406DF8"/>
    <w:rsid w:val="0041208C"/>
    <w:rsid w:val="00412DEA"/>
    <w:rsid w:val="004175A9"/>
    <w:rsid w:val="00421B94"/>
    <w:rsid w:val="00430EBC"/>
    <w:rsid w:val="004323CF"/>
    <w:rsid w:val="00432688"/>
    <w:rsid w:val="0043449A"/>
    <w:rsid w:val="00437985"/>
    <w:rsid w:val="004401CD"/>
    <w:rsid w:val="00447702"/>
    <w:rsid w:val="00453352"/>
    <w:rsid w:val="004542EE"/>
    <w:rsid w:val="00457FF0"/>
    <w:rsid w:val="00463EC4"/>
    <w:rsid w:val="0047015B"/>
    <w:rsid w:val="00472554"/>
    <w:rsid w:val="00477BE3"/>
    <w:rsid w:val="00487626"/>
    <w:rsid w:val="00491720"/>
    <w:rsid w:val="004A6674"/>
    <w:rsid w:val="004C04AB"/>
    <w:rsid w:val="004C3379"/>
    <w:rsid w:val="004D2C72"/>
    <w:rsid w:val="004D4CD1"/>
    <w:rsid w:val="004D7F52"/>
    <w:rsid w:val="004E497D"/>
    <w:rsid w:val="004F473B"/>
    <w:rsid w:val="004F4EC6"/>
    <w:rsid w:val="00506B50"/>
    <w:rsid w:val="00510CCB"/>
    <w:rsid w:val="00510EA3"/>
    <w:rsid w:val="005137DC"/>
    <w:rsid w:val="00515FA5"/>
    <w:rsid w:val="00516E35"/>
    <w:rsid w:val="00522DF2"/>
    <w:rsid w:val="005274C0"/>
    <w:rsid w:val="00532DA2"/>
    <w:rsid w:val="00535C1F"/>
    <w:rsid w:val="005409D8"/>
    <w:rsid w:val="00541DB7"/>
    <w:rsid w:val="005441B8"/>
    <w:rsid w:val="00544DE9"/>
    <w:rsid w:val="00544E28"/>
    <w:rsid w:val="00550D23"/>
    <w:rsid w:val="005550EC"/>
    <w:rsid w:val="00567336"/>
    <w:rsid w:val="00571323"/>
    <w:rsid w:val="0057715E"/>
    <w:rsid w:val="005834B8"/>
    <w:rsid w:val="00583BE6"/>
    <w:rsid w:val="00584494"/>
    <w:rsid w:val="0058451C"/>
    <w:rsid w:val="00584F9A"/>
    <w:rsid w:val="00595576"/>
    <w:rsid w:val="00597AA4"/>
    <w:rsid w:val="005A2B40"/>
    <w:rsid w:val="005A38B4"/>
    <w:rsid w:val="005A3FEE"/>
    <w:rsid w:val="005C017F"/>
    <w:rsid w:val="005D6C88"/>
    <w:rsid w:val="0060166D"/>
    <w:rsid w:val="00601955"/>
    <w:rsid w:val="00621D47"/>
    <w:rsid w:val="00623D62"/>
    <w:rsid w:val="00624448"/>
    <w:rsid w:val="00631012"/>
    <w:rsid w:val="00642614"/>
    <w:rsid w:val="0064288F"/>
    <w:rsid w:val="00647D81"/>
    <w:rsid w:val="00650BD7"/>
    <w:rsid w:val="00650F70"/>
    <w:rsid w:val="00651635"/>
    <w:rsid w:val="00652028"/>
    <w:rsid w:val="00654A69"/>
    <w:rsid w:val="00660A26"/>
    <w:rsid w:val="00672C79"/>
    <w:rsid w:val="0067305D"/>
    <w:rsid w:val="006760E6"/>
    <w:rsid w:val="00690ADB"/>
    <w:rsid w:val="00693BFF"/>
    <w:rsid w:val="006A0646"/>
    <w:rsid w:val="006A2122"/>
    <w:rsid w:val="006A28C4"/>
    <w:rsid w:val="006A4F26"/>
    <w:rsid w:val="006B5C95"/>
    <w:rsid w:val="006C06FC"/>
    <w:rsid w:val="006C3EC8"/>
    <w:rsid w:val="006C5877"/>
    <w:rsid w:val="006D2C8C"/>
    <w:rsid w:val="006D3DE1"/>
    <w:rsid w:val="006D5EB3"/>
    <w:rsid w:val="006D753F"/>
    <w:rsid w:val="006D7CAB"/>
    <w:rsid w:val="006E0389"/>
    <w:rsid w:val="006E6C35"/>
    <w:rsid w:val="006F10CA"/>
    <w:rsid w:val="0070029D"/>
    <w:rsid w:val="00706BFE"/>
    <w:rsid w:val="007169B2"/>
    <w:rsid w:val="00720C40"/>
    <w:rsid w:val="00723874"/>
    <w:rsid w:val="00727D00"/>
    <w:rsid w:val="0073176C"/>
    <w:rsid w:val="00743AEF"/>
    <w:rsid w:val="0075093A"/>
    <w:rsid w:val="00755736"/>
    <w:rsid w:val="007561F5"/>
    <w:rsid w:val="007579EC"/>
    <w:rsid w:val="007603DD"/>
    <w:rsid w:val="007616B5"/>
    <w:rsid w:val="0076274F"/>
    <w:rsid w:val="00763F6E"/>
    <w:rsid w:val="007732B0"/>
    <w:rsid w:val="00775C54"/>
    <w:rsid w:val="00782CA9"/>
    <w:rsid w:val="00783AC0"/>
    <w:rsid w:val="007A0B75"/>
    <w:rsid w:val="007A1DAE"/>
    <w:rsid w:val="007A36B0"/>
    <w:rsid w:val="007A4FF2"/>
    <w:rsid w:val="007B1968"/>
    <w:rsid w:val="007B4568"/>
    <w:rsid w:val="007B6926"/>
    <w:rsid w:val="007B6963"/>
    <w:rsid w:val="007C0511"/>
    <w:rsid w:val="007C1238"/>
    <w:rsid w:val="007C33EF"/>
    <w:rsid w:val="007C4265"/>
    <w:rsid w:val="007C675C"/>
    <w:rsid w:val="007D5B02"/>
    <w:rsid w:val="007D68DB"/>
    <w:rsid w:val="007D7C9C"/>
    <w:rsid w:val="007E6426"/>
    <w:rsid w:val="007F0FE8"/>
    <w:rsid w:val="007F37D7"/>
    <w:rsid w:val="007F3DCC"/>
    <w:rsid w:val="007F6CCE"/>
    <w:rsid w:val="00803050"/>
    <w:rsid w:val="008070C9"/>
    <w:rsid w:val="00813A87"/>
    <w:rsid w:val="00817263"/>
    <w:rsid w:val="008208BF"/>
    <w:rsid w:val="00825236"/>
    <w:rsid w:val="00825BB2"/>
    <w:rsid w:val="00830CF7"/>
    <w:rsid w:val="00830D00"/>
    <w:rsid w:val="00841AC8"/>
    <w:rsid w:val="00843405"/>
    <w:rsid w:val="00843E10"/>
    <w:rsid w:val="00845619"/>
    <w:rsid w:val="008659EA"/>
    <w:rsid w:val="0088575D"/>
    <w:rsid w:val="0089348B"/>
    <w:rsid w:val="008A0BA8"/>
    <w:rsid w:val="008A3D49"/>
    <w:rsid w:val="008B67B1"/>
    <w:rsid w:val="008B6CF7"/>
    <w:rsid w:val="008C01F3"/>
    <w:rsid w:val="008C027F"/>
    <w:rsid w:val="008C046F"/>
    <w:rsid w:val="008D23A4"/>
    <w:rsid w:val="008D23EB"/>
    <w:rsid w:val="008D3391"/>
    <w:rsid w:val="008F360A"/>
    <w:rsid w:val="008F4F25"/>
    <w:rsid w:val="008F62D7"/>
    <w:rsid w:val="00900597"/>
    <w:rsid w:val="00902057"/>
    <w:rsid w:val="0090292A"/>
    <w:rsid w:val="00905348"/>
    <w:rsid w:val="009113E8"/>
    <w:rsid w:val="00913F84"/>
    <w:rsid w:val="009170FB"/>
    <w:rsid w:val="0092356C"/>
    <w:rsid w:val="009241AE"/>
    <w:rsid w:val="0092566A"/>
    <w:rsid w:val="00930D35"/>
    <w:rsid w:val="009348AD"/>
    <w:rsid w:val="00941088"/>
    <w:rsid w:val="00945836"/>
    <w:rsid w:val="009466C9"/>
    <w:rsid w:val="009472CC"/>
    <w:rsid w:val="00954A36"/>
    <w:rsid w:val="00963810"/>
    <w:rsid w:val="009809BE"/>
    <w:rsid w:val="0098466F"/>
    <w:rsid w:val="009B5177"/>
    <w:rsid w:val="009B7FA6"/>
    <w:rsid w:val="009C22B2"/>
    <w:rsid w:val="009E1786"/>
    <w:rsid w:val="009E28C7"/>
    <w:rsid w:val="009E5FEC"/>
    <w:rsid w:val="009E6CF9"/>
    <w:rsid w:val="009E70FD"/>
    <w:rsid w:val="009E7B2C"/>
    <w:rsid w:val="009F0112"/>
    <w:rsid w:val="009F074F"/>
    <w:rsid w:val="009F29A3"/>
    <w:rsid w:val="009F2E93"/>
    <w:rsid w:val="00A004B7"/>
    <w:rsid w:val="00A14523"/>
    <w:rsid w:val="00A30893"/>
    <w:rsid w:val="00A3100E"/>
    <w:rsid w:val="00A32148"/>
    <w:rsid w:val="00A4327E"/>
    <w:rsid w:val="00A504F5"/>
    <w:rsid w:val="00A51183"/>
    <w:rsid w:val="00A52B70"/>
    <w:rsid w:val="00A63046"/>
    <w:rsid w:val="00A633CB"/>
    <w:rsid w:val="00A63600"/>
    <w:rsid w:val="00A63A01"/>
    <w:rsid w:val="00A649C0"/>
    <w:rsid w:val="00A65FD9"/>
    <w:rsid w:val="00A70C90"/>
    <w:rsid w:val="00A726EC"/>
    <w:rsid w:val="00A81416"/>
    <w:rsid w:val="00A8406E"/>
    <w:rsid w:val="00A84290"/>
    <w:rsid w:val="00A865F0"/>
    <w:rsid w:val="00A87CE2"/>
    <w:rsid w:val="00A90F74"/>
    <w:rsid w:val="00A91890"/>
    <w:rsid w:val="00A929CE"/>
    <w:rsid w:val="00A94C44"/>
    <w:rsid w:val="00A96236"/>
    <w:rsid w:val="00A97C1D"/>
    <w:rsid w:val="00AA2955"/>
    <w:rsid w:val="00AA6C5C"/>
    <w:rsid w:val="00AB1BDD"/>
    <w:rsid w:val="00AB23C2"/>
    <w:rsid w:val="00AB6B6A"/>
    <w:rsid w:val="00AC79A7"/>
    <w:rsid w:val="00AD108C"/>
    <w:rsid w:val="00AD4D38"/>
    <w:rsid w:val="00AD56B3"/>
    <w:rsid w:val="00AD6896"/>
    <w:rsid w:val="00AE5996"/>
    <w:rsid w:val="00AF3FC4"/>
    <w:rsid w:val="00AF5C7B"/>
    <w:rsid w:val="00B00CA9"/>
    <w:rsid w:val="00B06015"/>
    <w:rsid w:val="00B07B87"/>
    <w:rsid w:val="00B10F73"/>
    <w:rsid w:val="00B13865"/>
    <w:rsid w:val="00B14EE4"/>
    <w:rsid w:val="00B30105"/>
    <w:rsid w:val="00B32D7E"/>
    <w:rsid w:val="00B34F28"/>
    <w:rsid w:val="00B41C42"/>
    <w:rsid w:val="00B4353E"/>
    <w:rsid w:val="00B436E7"/>
    <w:rsid w:val="00B53FBF"/>
    <w:rsid w:val="00B54040"/>
    <w:rsid w:val="00B61D8E"/>
    <w:rsid w:val="00B61D92"/>
    <w:rsid w:val="00B6732E"/>
    <w:rsid w:val="00B7428B"/>
    <w:rsid w:val="00B755CA"/>
    <w:rsid w:val="00B812FF"/>
    <w:rsid w:val="00B81738"/>
    <w:rsid w:val="00B8772C"/>
    <w:rsid w:val="00B94834"/>
    <w:rsid w:val="00BA0AF1"/>
    <w:rsid w:val="00BB5AAA"/>
    <w:rsid w:val="00BB6503"/>
    <w:rsid w:val="00BC7FF5"/>
    <w:rsid w:val="00BD7307"/>
    <w:rsid w:val="00BE7492"/>
    <w:rsid w:val="00BF2E4F"/>
    <w:rsid w:val="00C11176"/>
    <w:rsid w:val="00C128D6"/>
    <w:rsid w:val="00C14955"/>
    <w:rsid w:val="00C1775C"/>
    <w:rsid w:val="00C22C80"/>
    <w:rsid w:val="00C22E84"/>
    <w:rsid w:val="00C24CAA"/>
    <w:rsid w:val="00C254E4"/>
    <w:rsid w:val="00C26317"/>
    <w:rsid w:val="00C33EAE"/>
    <w:rsid w:val="00C34415"/>
    <w:rsid w:val="00C3501B"/>
    <w:rsid w:val="00C51C96"/>
    <w:rsid w:val="00C536BE"/>
    <w:rsid w:val="00C56DE1"/>
    <w:rsid w:val="00C602E5"/>
    <w:rsid w:val="00C70AC3"/>
    <w:rsid w:val="00C72EBE"/>
    <w:rsid w:val="00C8043A"/>
    <w:rsid w:val="00C82C5F"/>
    <w:rsid w:val="00C8422D"/>
    <w:rsid w:val="00C87881"/>
    <w:rsid w:val="00C87FC0"/>
    <w:rsid w:val="00C9311C"/>
    <w:rsid w:val="00C97A07"/>
    <w:rsid w:val="00CA26CA"/>
    <w:rsid w:val="00CB0681"/>
    <w:rsid w:val="00CB100E"/>
    <w:rsid w:val="00CC1E18"/>
    <w:rsid w:val="00CD4005"/>
    <w:rsid w:val="00CD476D"/>
    <w:rsid w:val="00CD5597"/>
    <w:rsid w:val="00CE139B"/>
    <w:rsid w:val="00CE195C"/>
    <w:rsid w:val="00CE2994"/>
    <w:rsid w:val="00CF1A6A"/>
    <w:rsid w:val="00CF6582"/>
    <w:rsid w:val="00D02B66"/>
    <w:rsid w:val="00D03433"/>
    <w:rsid w:val="00D04B13"/>
    <w:rsid w:val="00D0675A"/>
    <w:rsid w:val="00D10152"/>
    <w:rsid w:val="00D20B0D"/>
    <w:rsid w:val="00D248B8"/>
    <w:rsid w:val="00D3260A"/>
    <w:rsid w:val="00D3478A"/>
    <w:rsid w:val="00D34BEE"/>
    <w:rsid w:val="00D437C1"/>
    <w:rsid w:val="00D47BCF"/>
    <w:rsid w:val="00D51A49"/>
    <w:rsid w:val="00D54C69"/>
    <w:rsid w:val="00D57E35"/>
    <w:rsid w:val="00D648DF"/>
    <w:rsid w:val="00D7340B"/>
    <w:rsid w:val="00D74031"/>
    <w:rsid w:val="00D810B4"/>
    <w:rsid w:val="00D861DD"/>
    <w:rsid w:val="00D863B8"/>
    <w:rsid w:val="00D95021"/>
    <w:rsid w:val="00DB03B3"/>
    <w:rsid w:val="00DB1ACB"/>
    <w:rsid w:val="00DB336B"/>
    <w:rsid w:val="00DB4D52"/>
    <w:rsid w:val="00DC2972"/>
    <w:rsid w:val="00DC314D"/>
    <w:rsid w:val="00DD05F8"/>
    <w:rsid w:val="00DD3687"/>
    <w:rsid w:val="00DD393F"/>
    <w:rsid w:val="00DD47A6"/>
    <w:rsid w:val="00DD6845"/>
    <w:rsid w:val="00DE2B7E"/>
    <w:rsid w:val="00DE5EE5"/>
    <w:rsid w:val="00DE703E"/>
    <w:rsid w:val="00DF0C48"/>
    <w:rsid w:val="00DF47E6"/>
    <w:rsid w:val="00DF77FC"/>
    <w:rsid w:val="00E00606"/>
    <w:rsid w:val="00E00A5E"/>
    <w:rsid w:val="00E02139"/>
    <w:rsid w:val="00E03874"/>
    <w:rsid w:val="00E03A99"/>
    <w:rsid w:val="00E1508D"/>
    <w:rsid w:val="00E170EE"/>
    <w:rsid w:val="00E20D73"/>
    <w:rsid w:val="00E20E30"/>
    <w:rsid w:val="00E23526"/>
    <w:rsid w:val="00E276F5"/>
    <w:rsid w:val="00E3170E"/>
    <w:rsid w:val="00E322EB"/>
    <w:rsid w:val="00E40839"/>
    <w:rsid w:val="00E44928"/>
    <w:rsid w:val="00E456A1"/>
    <w:rsid w:val="00E64506"/>
    <w:rsid w:val="00E66EBD"/>
    <w:rsid w:val="00E672D0"/>
    <w:rsid w:val="00E75ACB"/>
    <w:rsid w:val="00E77D1F"/>
    <w:rsid w:val="00E811C6"/>
    <w:rsid w:val="00E84636"/>
    <w:rsid w:val="00E85187"/>
    <w:rsid w:val="00E86CFE"/>
    <w:rsid w:val="00E86D8C"/>
    <w:rsid w:val="00E875A7"/>
    <w:rsid w:val="00E909EF"/>
    <w:rsid w:val="00E95D71"/>
    <w:rsid w:val="00E96D17"/>
    <w:rsid w:val="00EA4C15"/>
    <w:rsid w:val="00EB1AE8"/>
    <w:rsid w:val="00EB4541"/>
    <w:rsid w:val="00EC2C51"/>
    <w:rsid w:val="00EC66DA"/>
    <w:rsid w:val="00ED7401"/>
    <w:rsid w:val="00EE2A5D"/>
    <w:rsid w:val="00F06996"/>
    <w:rsid w:val="00F12CD2"/>
    <w:rsid w:val="00F14EAD"/>
    <w:rsid w:val="00F25F89"/>
    <w:rsid w:val="00F3552F"/>
    <w:rsid w:val="00F43419"/>
    <w:rsid w:val="00F468AB"/>
    <w:rsid w:val="00F51154"/>
    <w:rsid w:val="00F5174F"/>
    <w:rsid w:val="00F529FD"/>
    <w:rsid w:val="00F53FEC"/>
    <w:rsid w:val="00F5699F"/>
    <w:rsid w:val="00F6169D"/>
    <w:rsid w:val="00F65F79"/>
    <w:rsid w:val="00F73DCB"/>
    <w:rsid w:val="00F90DAC"/>
    <w:rsid w:val="00F93CDE"/>
    <w:rsid w:val="00F965A5"/>
    <w:rsid w:val="00F976B1"/>
    <w:rsid w:val="00FA61B1"/>
    <w:rsid w:val="00FA6A97"/>
    <w:rsid w:val="00FA6C66"/>
    <w:rsid w:val="00FC6519"/>
    <w:rsid w:val="00FC74EC"/>
    <w:rsid w:val="00FD352F"/>
    <w:rsid w:val="00FD69BF"/>
    <w:rsid w:val="00FE471C"/>
    <w:rsid w:val="00FE5E85"/>
    <w:rsid w:val="00FE6E51"/>
    <w:rsid w:val="00FF33DC"/>
  </w:rsids>
  <m:mathPr>
    <m:mathFont m:val="Cambria Math"/>
    <m:brkBin m:val="before"/>
    <m:brkBinSub m:val="--"/>
    <m:smallFrac/>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5:docId w15:val="{33756350-F9BC-42E7-A136-FB57251210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647D81"/>
    <w:pPr>
      <w:spacing w:after="0" w:line="240" w:lineRule="auto"/>
    </w:pPr>
    <w:rPr>
      <w:rFonts w:ascii="Tahoma" w:hAnsi="Tahoma" w:cs="Arial"/>
      <w:sz w:val="20"/>
      <w:lang w:eastAsia="de-DE"/>
    </w:rPr>
  </w:style>
  <w:style w:type="paragraph" w:styleId="Titre1">
    <w:name w:val="heading 1"/>
    <w:basedOn w:val="Normal"/>
    <w:link w:val="Titre1Car"/>
    <w:qFormat/>
    <w:rsid w:val="00647D81"/>
    <w:pPr>
      <w:numPr>
        <w:numId w:val="1"/>
      </w:numPr>
      <w:spacing w:before="100" w:beforeAutospacing="1" w:after="100" w:afterAutospacing="1"/>
      <w:outlineLvl w:val="0"/>
    </w:pPr>
    <w:rPr>
      <w:rFonts w:eastAsia="Times New Roman"/>
      <w:b/>
      <w:bCs/>
      <w:color w:val="1CADE4" w:themeColor="accent1"/>
      <w:kern w:val="36"/>
      <w:sz w:val="28"/>
      <w:szCs w:val="36"/>
    </w:rPr>
  </w:style>
  <w:style w:type="paragraph" w:styleId="Titre2">
    <w:name w:val="heading 2"/>
    <w:basedOn w:val="Normal"/>
    <w:next w:val="BodyText"/>
    <w:link w:val="Titre2Car"/>
    <w:qFormat/>
    <w:rsid w:val="00647D81"/>
    <w:pPr>
      <w:keepNext/>
      <w:numPr>
        <w:ilvl w:val="1"/>
        <w:numId w:val="1"/>
      </w:numPr>
      <w:spacing w:before="480" w:after="240"/>
      <w:jc w:val="both"/>
      <w:outlineLvl w:val="1"/>
    </w:pPr>
    <w:rPr>
      <w:rFonts w:eastAsia="Times New Roman" w:cstheme="minorHAnsi"/>
      <w:b/>
      <w:bCs/>
      <w:sz w:val="24"/>
    </w:rPr>
  </w:style>
  <w:style w:type="paragraph" w:styleId="Titre3">
    <w:name w:val="heading 3"/>
    <w:basedOn w:val="Normal"/>
    <w:next w:val="BodyText"/>
    <w:link w:val="Titre3Car"/>
    <w:qFormat/>
    <w:rsid w:val="00647D81"/>
    <w:pPr>
      <w:numPr>
        <w:ilvl w:val="2"/>
        <w:numId w:val="1"/>
      </w:numPr>
      <w:spacing w:before="360" w:after="240"/>
      <w:ind w:left="720"/>
      <w:outlineLvl w:val="2"/>
    </w:pPr>
    <w:rPr>
      <w:rFonts w:eastAsia="Times New Roman"/>
      <w:b/>
      <w:bCs/>
      <w:i/>
      <w:iCs/>
      <w:sz w:val="22"/>
    </w:rPr>
  </w:style>
  <w:style w:type="paragraph" w:styleId="Titre4">
    <w:name w:val="heading 4"/>
    <w:basedOn w:val="Normal"/>
    <w:next w:val="BodyText"/>
    <w:link w:val="Titre4Car"/>
    <w:uiPriority w:val="9"/>
    <w:unhideWhenUsed/>
    <w:qFormat/>
    <w:rsid w:val="00647D81"/>
    <w:pPr>
      <w:keepNext/>
      <w:keepLines/>
      <w:numPr>
        <w:ilvl w:val="3"/>
        <w:numId w:val="1"/>
      </w:numPr>
      <w:spacing w:before="360" w:after="120"/>
      <w:ind w:left="864"/>
      <w:outlineLvl w:val="3"/>
    </w:pPr>
    <w:rPr>
      <w:rFonts w:eastAsiaTheme="majorEastAsia" w:cstheme="majorBidi"/>
      <w:bCs/>
      <w:iCs/>
      <w:color w:val="000000" w:themeColor="text1"/>
      <w:u w:val="single"/>
    </w:rPr>
  </w:style>
  <w:style w:type="paragraph" w:styleId="Titre5">
    <w:name w:val="heading 5"/>
    <w:basedOn w:val="Normal"/>
    <w:next w:val="Normal"/>
    <w:link w:val="Titre5Car"/>
    <w:uiPriority w:val="9"/>
    <w:unhideWhenUsed/>
    <w:qFormat/>
    <w:rsid w:val="00647D81"/>
    <w:pPr>
      <w:keepNext/>
      <w:keepLines/>
      <w:numPr>
        <w:ilvl w:val="4"/>
        <w:numId w:val="1"/>
      </w:numPr>
      <w:spacing w:before="200"/>
      <w:outlineLvl w:val="4"/>
    </w:pPr>
    <w:rPr>
      <w:rFonts w:eastAsiaTheme="majorEastAsia" w:cstheme="majorBidi"/>
      <w:i/>
      <w:color w:val="0D5571" w:themeColor="accent1" w:themeShade="7F"/>
    </w:rPr>
  </w:style>
  <w:style w:type="paragraph" w:styleId="Titre6">
    <w:name w:val="heading 6"/>
    <w:basedOn w:val="Normal"/>
    <w:next w:val="Normal"/>
    <w:link w:val="Titre6Car"/>
    <w:uiPriority w:val="9"/>
    <w:unhideWhenUsed/>
    <w:qFormat/>
    <w:rsid w:val="00647D81"/>
    <w:pPr>
      <w:keepNext/>
      <w:keepLines/>
      <w:numPr>
        <w:ilvl w:val="5"/>
        <w:numId w:val="1"/>
      </w:numPr>
      <w:spacing w:before="200"/>
      <w:outlineLvl w:val="5"/>
    </w:pPr>
    <w:rPr>
      <w:rFonts w:asciiTheme="majorHAnsi" w:eastAsiaTheme="majorEastAsia" w:hAnsiTheme="majorHAnsi" w:cstheme="majorBidi"/>
      <w:i/>
      <w:iCs/>
      <w:color w:val="0D5571" w:themeColor="accent1" w:themeShade="7F"/>
    </w:rPr>
  </w:style>
  <w:style w:type="paragraph" w:styleId="Titre7">
    <w:name w:val="heading 7"/>
    <w:basedOn w:val="Normal"/>
    <w:next w:val="Normal"/>
    <w:link w:val="Titre7Car"/>
    <w:uiPriority w:val="9"/>
    <w:unhideWhenUsed/>
    <w:qFormat/>
    <w:rsid w:val="00647D81"/>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Titre8">
    <w:name w:val="heading 8"/>
    <w:basedOn w:val="Normal"/>
    <w:next w:val="Normal"/>
    <w:link w:val="Titre8Car"/>
    <w:uiPriority w:val="9"/>
    <w:unhideWhenUsed/>
    <w:qFormat/>
    <w:rsid w:val="00647D81"/>
    <w:pPr>
      <w:keepNext/>
      <w:keepLines/>
      <w:numPr>
        <w:ilvl w:val="7"/>
        <w:numId w:val="1"/>
      </w:numPr>
      <w:spacing w:before="200"/>
      <w:outlineLvl w:val="7"/>
    </w:pPr>
    <w:rPr>
      <w:rFonts w:asciiTheme="majorHAnsi" w:eastAsiaTheme="majorEastAsia" w:hAnsiTheme="majorHAnsi" w:cstheme="majorBidi"/>
      <w:color w:val="404040" w:themeColor="text1" w:themeTint="BF"/>
      <w:szCs w:val="20"/>
    </w:rPr>
  </w:style>
  <w:style w:type="paragraph" w:styleId="Titre9">
    <w:name w:val="heading 9"/>
    <w:aliases w:val="Heading 9-paranum"/>
    <w:basedOn w:val="Normal"/>
    <w:next w:val="Normal"/>
    <w:link w:val="Titre9Car"/>
    <w:uiPriority w:val="9"/>
    <w:unhideWhenUsed/>
    <w:qFormat/>
    <w:rsid w:val="00647D81"/>
    <w:pPr>
      <w:keepNext/>
      <w:keepLines/>
      <w:numPr>
        <w:ilvl w:val="8"/>
        <w:numId w:val="1"/>
      </w:numPr>
      <w:spacing w:before="200"/>
      <w:outlineLvl w:val="8"/>
    </w:pPr>
    <w:rPr>
      <w:rFonts w:asciiTheme="majorHAnsi" w:eastAsiaTheme="majorEastAsia" w:hAnsiTheme="majorHAnsi" w:cstheme="majorBidi"/>
      <w:i/>
      <w:iCs/>
      <w:color w:val="404040" w:themeColor="text1" w:themeTint="BF"/>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647D81"/>
    <w:rPr>
      <w:rFonts w:ascii="Tahoma" w:eastAsia="Times New Roman" w:hAnsi="Tahoma" w:cs="Arial"/>
      <w:b/>
      <w:bCs/>
      <w:color w:val="1CADE4" w:themeColor="accent1"/>
      <w:kern w:val="36"/>
      <w:sz w:val="28"/>
      <w:szCs w:val="36"/>
      <w:lang w:eastAsia="de-DE"/>
    </w:rPr>
  </w:style>
  <w:style w:type="character" w:customStyle="1" w:styleId="Titre2Car">
    <w:name w:val="Titre 2 Car"/>
    <w:basedOn w:val="Policepardfaut"/>
    <w:link w:val="Titre2"/>
    <w:rsid w:val="00647D81"/>
    <w:rPr>
      <w:rFonts w:ascii="Tahoma" w:eastAsia="Times New Roman" w:hAnsi="Tahoma" w:cstheme="minorHAnsi"/>
      <w:b/>
      <w:bCs/>
      <w:sz w:val="24"/>
      <w:lang w:eastAsia="de-DE"/>
    </w:rPr>
  </w:style>
  <w:style w:type="character" w:customStyle="1" w:styleId="Titre3Car">
    <w:name w:val="Titre 3 Car"/>
    <w:basedOn w:val="Policepardfaut"/>
    <w:link w:val="Titre3"/>
    <w:rsid w:val="00647D81"/>
    <w:rPr>
      <w:rFonts w:ascii="Tahoma" w:eastAsia="Times New Roman" w:hAnsi="Tahoma" w:cs="Arial"/>
      <w:b/>
      <w:bCs/>
      <w:i/>
      <w:iCs/>
      <w:lang w:eastAsia="de-DE"/>
    </w:rPr>
  </w:style>
  <w:style w:type="character" w:customStyle="1" w:styleId="Titre4Car">
    <w:name w:val="Titre 4 Car"/>
    <w:basedOn w:val="Policepardfaut"/>
    <w:link w:val="Titre4"/>
    <w:uiPriority w:val="9"/>
    <w:rsid w:val="00647D81"/>
    <w:rPr>
      <w:rFonts w:ascii="Tahoma" w:eastAsiaTheme="majorEastAsia" w:hAnsi="Tahoma" w:cstheme="majorBidi"/>
      <w:bCs/>
      <w:iCs/>
      <w:color w:val="000000" w:themeColor="text1"/>
      <w:sz w:val="20"/>
      <w:u w:val="single"/>
      <w:lang w:eastAsia="de-DE"/>
    </w:rPr>
  </w:style>
  <w:style w:type="character" w:customStyle="1" w:styleId="Titre5Car">
    <w:name w:val="Titre 5 Car"/>
    <w:basedOn w:val="Policepardfaut"/>
    <w:link w:val="Titre5"/>
    <w:uiPriority w:val="9"/>
    <w:rsid w:val="00647D81"/>
    <w:rPr>
      <w:rFonts w:ascii="Tahoma" w:eastAsiaTheme="majorEastAsia" w:hAnsi="Tahoma" w:cstheme="majorBidi"/>
      <w:i/>
      <w:color w:val="0D5571" w:themeColor="accent1" w:themeShade="7F"/>
      <w:sz w:val="20"/>
      <w:lang w:eastAsia="de-DE"/>
    </w:rPr>
  </w:style>
  <w:style w:type="character" w:customStyle="1" w:styleId="Titre6Car">
    <w:name w:val="Titre 6 Car"/>
    <w:basedOn w:val="Policepardfaut"/>
    <w:link w:val="Titre6"/>
    <w:uiPriority w:val="9"/>
    <w:rsid w:val="00647D81"/>
    <w:rPr>
      <w:rFonts w:asciiTheme="majorHAnsi" w:eastAsiaTheme="majorEastAsia" w:hAnsiTheme="majorHAnsi" w:cstheme="majorBidi"/>
      <w:i/>
      <w:iCs/>
      <w:color w:val="0D5571" w:themeColor="accent1" w:themeShade="7F"/>
      <w:sz w:val="20"/>
      <w:lang w:eastAsia="de-DE"/>
    </w:rPr>
  </w:style>
  <w:style w:type="character" w:customStyle="1" w:styleId="Titre7Car">
    <w:name w:val="Titre 7 Car"/>
    <w:basedOn w:val="Policepardfaut"/>
    <w:link w:val="Titre7"/>
    <w:uiPriority w:val="9"/>
    <w:rsid w:val="00647D81"/>
    <w:rPr>
      <w:rFonts w:asciiTheme="majorHAnsi" w:eastAsiaTheme="majorEastAsia" w:hAnsiTheme="majorHAnsi" w:cstheme="majorBidi"/>
      <w:i/>
      <w:iCs/>
      <w:color w:val="404040" w:themeColor="text1" w:themeTint="BF"/>
      <w:sz w:val="20"/>
      <w:lang w:eastAsia="de-DE"/>
    </w:rPr>
  </w:style>
  <w:style w:type="character" w:customStyle="1" w:styleId="Titre8Car">
    <w:name w:val="Titre 8 Car"/>
    <w:basedOn w:val="Policepardfaut"/>
    <w:link w:val="Titre8"/>
    <w:uiPriority w:val="9"/>
    <w:rsid w:val="00647D81"/>
    <w:rPr>
      <w:rFonts w:asciiTheme="majorHAnsi" w:eastAsiaTheme="majorEastAsia" w:hAnsiTheme="majorHAnsi" w:cstheme="majorBidi"/>
      <w:color w:val="404040" w:themeColor="text1" w:themeTint="BF"/>
      <w:sz w:val="20"/>
      <w:szCs w:val="20"/>
      <w:lang w:eastAsia="de-DE"/>
    </w:rPr>
  </w:style>
  <w:style w:type="character" w:customStyle="1" w:styleId="Titre9Car">
    <w:name w:val="Titre 9 Car"/>
    <w:aliases w:val="Heading 9-paranum Car"/>
    <w:basedOn w:val="Policepardfaut"/>
    <w:link w:val="Titre9"/>
    <w:uiPriority w:val="9"/>
    <w:rsid w:val="00647D81"/>
    <w:rPr>
      <w:rFonts w:asciiTheme="majorHAnsi" w:eastAsiaTheme="majorEastAsia" w:hAnsiTheme="majorHAnsi" w:cstheme="majorBidi"/>
      <w:i/>
      <w:iCs/>
      <w:color w:val="404040" w:themeColor="text1" w:themeTint="BF"/>
      <w:sz w:val="20"/>
      <w:szCs w:val="20"/>
      <w:lang w:eastAsia="de-DE"/>
    </w:rPr>
  </w:style>
  <w:style w:type="paragraph" w:styleId="Lgende">
    <w:name w:val="caption"/>
    <w:basedOn w:val="Normal"/>
    <w:next w:val="BodyText"/>
    <w:link w:val="LgendeCar"/>
    <w:uiPriority w:val="99"/>
    <w:qFormat/>
    <w:rsid w:val="00647D81"/>
    <w:pPr>
      <w:spacing w:before="360" w:after="180"/>
    </w:pPr>
    <w:rPr>
      <w:rFonts w:eastAsia="Times New Roman"/>
      <w:b/>
      <w:bCs/>
      <w:i/>
      <w:sz w:val="18"/>
      <w:szCs w:val="20"/>
    </w:rPr>
  </w:style>
  <w:style w:type="character" w:customStyle="1" w:styleId="LgendeCar">
    <w:name w:val="Légende Car"/>
    <w:link w:val="Lgende"/>
    <w:uiPriority w:val="99"/>
    <w:locked/>
    <w:rsid w:val="00647D81"/>
    <w:rPr>
      <w:rFonts w:ascii="Tahoma" w:eastAsia="Times New Roman" w:hAnsi="Tahoma" w:cs="Arial"/>
      <w:b/>
      <w:bCs/>
      <w:i/>
      <w:sz w:val="18"/>
      <w:szCs w:val="20"/>
      <w:lang w:eastAsia="de-DE"/>
    </w:rPr>
  </w:style>
  <w:style w:type="paragraph" w:styleId="Paragraphedeliste">
    <w:name w:val="List Paragraph"/>
    <w:aliases w:val="Bullet Points,Farbige Liste - Akzent 11,List Paragraph2,Bullets,Medium Grid 1 - Accent 21,Liste 1,List Paragraph nowy,Numbered List Paragraph,List Paragraph (numbered (a)),ReferencesCxSpLast,Tableau Adere,Premier,RM1,texte,Paragraphe"/>
    <w:basedOn w:val="Normal"/>
    <w:link w:val="ParagraphedelisteCar"/>
    <w:uiPriority w:val="99"/>
    <w:qFormat/>
    <w:rsid w:val="00647D81"/>
    <w:pPr>
      <w:ind w:left="720"/>
      <w:contextualSpacing/>
    </w:pPr>
  </w:style>
  <w:style w:type="character" w:customStyle="1" w:styleId="ParagraphedelisteCar">
    <w:name w:val="Paragraphe de liste Car"/>
    <w:aliases w:val="Bullet Points Car,Farbige Liste - Akzent 11 Car,List Paragraph2 Car,Bullets Car,Medium Grid 1 - Accent 21 Car,Liste 1 Car,List Paragraph nowy Car,Numbered List Paragraph Car,List Paragraph (numbered (a)) Car,Tableau Adere Car"/>
    <w:basedOn w:val="Policepardfaut"/>
    <w:link w:val="Paragraphedeliste"/>
    <w:uiPriority w:val="99"/>
    <w:locked/>
    <w:rsid w:val="00647D81"/>
    <w:rPr>
      <w:rFonts w:ascii="Tahoma" w:hAnsi="Tahoma" w:cs="Arial"/>
      <w:sz w:val="20"/>
      <w:lang w:eastAsia="de-DE"/>
    </w:rPr>
  </w:style>
  <w:style w:type="paragraph" w:customStyle="1" w:styleId="BodyText">
    <w:name w:val="Body_Text"/>
    <w:basedOn w:val="Normal"/>
    <w:link w:val="BodyTextChar"/>
    <w:qFormat/>
    <w:rsid w:val="00647D81"/>
    <w:pPr>
      <w:spacing w:before="120" w:after="120" w:line="288" w:lineRule="auto"/>
      <w:jc w:val="both"/>
    </w:pPr>
  </w:style>
  <w:style w:type="character" w:customStyle="1" w:styleId="BodyTextChar">
    <w:name w:val="Body_Text Char"/>
    <w:basedOn w:val="Policepardfaut"/>
    <w:link w:val="BodyText"/>
    <w:rsid w:val="00647D81"/>
    <w:rPr>
      <w:rFonts w:ascii="Tahoma" w:hAnsi="Tahoma" w:cs="Arial"/>
      <w:sz w:val="20"/>
      <w:lang w:eastAsia="de-DE"/>
    </w:rPr>
  </w:style>
  <w:style w:type="table" w:customStyle="1" w:styleId="GridTable5Dark-Accent21">
    <w:name w:val="Grid Table 5 Dark - Accent 21"/>
    <w:basedOn w:val="TableauNormal"/>
    <w:uiPriority w:val="50"/>
    <w:rsid w:val="00647D81"/>
    <w:pPr>
      <w:spacing w:after="0" w:line="240" w:lineRule="auto"/>
    </w:pPr>
    <w:rPr>
      <w:lang w:val="de-DE"/>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0E6F6"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2683C6"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2683C6"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2683C6"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2683C6" w:themeFill="accent2"/>
      </w:tcPr>
    </w:tblStylePr>
    <w:tblStylePr w:type="band1Vert">
      <w:tblPr/>
      <w:tcPr>
        <w:shd w:val="clear" w:color="auto" w:fill="A3CEED" w:themeFill="accent2" w:themeFillTint="66"/>
      </w:tcPr>
    </w:tblStylePr>
    <w:tblStylePr w:type="band1Horz">
      <w:tblPr/>
      <w:tcPr>
        <w:shd w:val="clear" w:color="auto" w:fill="A3CEED" w:themeFill="accent2" w:themeFillTint="66"/>
      </w:tcPr>
    </w:tblStylePr>
  </w:style>
  <w:style w:type="paragraph" w:customStyle="1" w:styleId="Source">
    <w:name w:val="Source"/>
    <w:basedOn w:val="Normal"/>
    <w:next w:val="BodyText"/>
    <w:rsid w:val="00647D81"/>
    <w:rPr>
      <w:sz w:val="16"/>
    </w:rPr>
  </w:style>
  <w:style w:type="paragraph" w:customStyle="1" w:styleId="Tbltxt">
    <w:name w:val="Tbl_txt"/>
    <w:basedOn w:val="Normal"/>
    <w:rsid w:val="00647D81"/>
    <w:pPr>
      <w:spacing w:before="40" w:after="40"/>
      <w:ind w:left="28" w:right="28"/>
    </w:pPr>
    <w:rPr>
      <w:sz w:val="18"/>
      <w:szCs w:val="18"/>
    </w:rPr>
  </w:style>
  <w:style w:type="table" w:styleId="Grilledutableau">
    <w:name w:val="Table Grid"/>
    <w:basedOn w:val="TableauNormal"/>
    <w:uiPriority w:val="59"/>
    <w:rsid w:val="009472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re">
    <w:name w:val="Title"/>
    <w:basedOn w:val="Normal"/>
    <w:next w:val="Normal"/>
    <w:link w:val="TitreCar"/>
    <w:uiPriority w:val="10"/>
    <w:qFormat/>
    <w:rsid w:val="00B61D92"/>
    <w:pPr>
      <w:contextualSpacing/>
    </w:pPr>
    <w:rPr>
      <w:rFonts w:asciiTheme="majorHAnsi" w:eastAsiaTheme="majorEastAsia" w:hAnsiTheme="majorHAnsi" w:cstheme="majorBidi"/>
      <w:spacing w:val="-10"/>
      <w:kern w:val="28"/>
      <w:sz w:val="56"/>
      <w:szCs w:val="56"/>
      <w:lang w:eastAsia="en-US"/>
    </w:rPr>
  </w:style>
  <w:style w:type="character" w:customStyle="1" w:styleId="TitreCar">
    <w:name w:val="Titre Car"/>
    <w:basedOn w:val="Policepardfaut"/>
    <w:link w:val="Titre"/>
    <w:uiPriority w:val="10"/>
    <w:rsid w:val="00B61D92"/>
    <w:rPr>
      <w:rFonts w:asciiTheme="majorHAnsi" w:eastAsiaTheme="majorEastAsia" w:hAnsiTheme="majorHAnsi" w:cstheme="majorBidi"/>
      <w:spacing w:val="-10"/>
      <w:kern w:val="28"/>
      <w:sz w:val="56"/>
      <w:szCs w:val="56"/>
    </w:rPr>
  </w:style>
  <w:style w:type="paragraph" w:styleId="NormalWeb">
    <w:name w:val="Normal (Web)"/>
    <w:basedOn w:val="Normal"/>
    <w:uiPriority w:val="99"/>
    <w:unhideWhenUsed/>
    <w:rsid w:val="0090292A"/>
    <w:pPr>
      <w:spacing w:before="100" w:beforeAutospacing="1" w:after="100" w:afterAutospacing="1"/>
    </w:pPr>
    <w:rPr>
      <w:rFonts w:ascii="Times New Roman" w:eastAsia="Times New Roman" w:hAnsi="Times New Roman" w:cs="Times New Roman"/>
      <w:sz w:val="24"/>
      <w:szCs w:val="24"/>
      <w:lang w:eastAsia="fr-FR"/>
    </w:rPr>
  </w:style>
  <w:style w:type="paragraph" w:customStyle="1" w:styleId="BodyTextind1">
    <w:name w:val="Body_Text_ind1"/>
    <w:basedOn w:val="BodyText"/>
    <w:rsid w:val="003154FC"/>
    <w:pPr>
      <w:numPr>
        <w:numId w:val="14"/>
      </w:numPr>
    </w:pPr>
  </w:style>
  <w:style w:type="paragraph" w:customStyle="1" w:styleId="BodyTextind2">
    <w:name w:val="Body_Text_ind2"/>
    <w:basedOn w:val="BodyTextind1"/>
    <w:next w:val="BodyTextind1"/>
    <w:rsid w:val="003154FC"/>
    <w:pPr>
      <w:numPr>
        <w:ilvl w:val="1"/>
      </w:numPr>
    </w:pPr>
  </w:style>
  <w:style w:type="paragraph" w:customStyle="1" w:styleId="BodyTextInd0">
    <w:name w:val="Body_Text_Ind0"/>
    <w:basedOn w:val="BodyText"/>
    <w:rsid w:val="003154FC"/>
    <w:pPr>
      <w:numPr>
        <w:numId w:val="15"/>
      </w:numPr>
    </w:pPr>
  </w:style>
  <w:style w:type="paragraph" w:styleId="Textedebulles">
    <w:name w:val="Balloon Text"/>
    <w:basedOn w:val="Normal"/>
    <w:link w:val="TextedebullesCar"/>
    <w:uiPriority w:val="99"/>
    <w:semiHidden/>
    <w:unhideWhenUsed/>
    <w:rsid w:val="00ED7401"/>
    <w:rPr>
      <w:rFonts w:ascii="Segoe UI" w:hAnsi="Segoe UI" w:cs="Segoe UI"/>
      <w:sz w:val="18"/>
      <w:szCs w:val="18"/>
    </w:rPr>
  </w:style>
  <w:style w:type="character" w:customStyle="1" w:styleId="TextedebullesCar">
    <w:name w:val="Texte de bulles Car"/>
    <w:basedOn w:val="Policepardfaut"/>
    <w:link w:val="Textedebulles"/>
    <w:uiPriority w:val="99"/>
    <w:semiHidden/>
    <w:rsid w:val="00ED7401"/>
    <w:rPr>
      <w:rFonts w:ascii="Segoe UI" w:hAnsi="Segoe UI" w:cs="Segoe UI"/>
      <w:sz w:val="18"/>
      <w:szCs w:val="18"/>
      <w:lang w:eastAsia="de-DE"/>
    </w:rPr>
  </w:style>
  <w:style w:type="paragraph" w:styleId="Sansinterligne">
    <w:name w:val="No Spacing"/>
    <w:link w:val="SansinterligneCar"/>
    <w:uiPriority w:val="1"/>
    <w:qFormat/>
    <w:rsid w:val="009466C9"/>
    <w:pPr>
      <w:spacing w:after="0" w:line="240" w:lineRule="auto"/>
    </w:pPr>
  </w:style>
  <w:style w:type="character" w:customStyle="1" w:styleId="SansinterligneCar">
    <w:name w:val="Sans interligne Car"/>
    <w:basedOn w:val="Policepardfaut"/>
    <w:link w:val="Sansinterligne"/>
    <w:uiPriority w:val="1"/>
    <w:rsid w:val="009466C9"/>
  </w:style>
  <w:style w:type="character" w:styleId="Emphaseple">
    <w:name w:val="Subtle Emphasis"/>
    <w:uiPriority w:val="99"/>
    <w:qFormat/>
    <w:rsid w:val="009466C9"/>
    <w:rPr>
      <w:i/>
      <w:iCs/>
      <w:color w:val="808080"/>
    </w:rPr>
  </w:style>
  <w:style w:type="paragraph" w:styleId="Corpsdetexte">
    <w:name w:val="Body Text"/>
    <w:basedOn w:val="Normal"/>
    <w:link w:val="CorpsdetexteCar"/>
    <w:semiHidden/>
    <w:rsid w:val="00AC79A7"/>
    <w:pPr>
      <w:jc w:val="both"/>
    </w:pPr>
    <w:rPr>
      <w:rFonts w:ascii="Arial" w:eastAsia="Times New Roman" w:hAnsi="Arial" w:cs="Times New Roman"/>
      <w:sz w:val="24"/>
      <w:szCs w:val="20"/>
      <w:lang w:eastAsia="fr-FR"/>
    </w:rPr>
  </w:style>
  <w:style w:type="character" w:customStyle="1" w:styleId="CorpsdetexteCar">
    <w:name w:val="Corps de texte Car"/>
    <w:basedOn w:val="Policepardfaut"/>
    <w:link w:val="Corpsdetexte"/>
    <w:semiHidden/>
    <w:rsid w:val="00AC79A7"/>
    <w:rPr>
      <w:rFonts w:ascii="Arial" w:eastAsia="Times New Roman" w:hAnsi="Arial" w:cs="Times New Roman"/>
      <w:sz w:val="24"/>
      <w:szCs w:val="20"/>
      <w:lang w:eastAsia="fr-FR"/>
    </w:rPr>
  </w:style>
  <w:style w:type="paragraph" w:styleId="Rvision">
    <w:name w:val="Revision"/>
    <w:hidden/>
    <w:uiPriority w:val="99"/>
    <w:semiHidden/>
    <w:rsid w:val="00396E1B"/>
    <w:pPr>
      <w:spacing w:after="0" w:line="240" w:lineRule="auto"/>
    </w:pPr>
    <w:rPr>
      <w:rFonts w:ascii="Tahoma" w:hAnsi="Tahoma" w:cs="Arial"/>
      <w:sz w:val="20"/>
      <w:lang w:eastAsia="de-DE"/>
    </w:rPr>
  </w:style>
  <w:style w:type="paragraph" w:customStyle="1" w:styleId="BodyHdtxt">
    <w:name w:val="Body_Hd_txt"/>
    <w:basedOn w:val="Normal"/>
    <w:next w:val="Corpsdetexte"/>
    <w:rsid w:val="00A94C44"/>
    <w:pPr>
      <w:keepNext/>
      <w:spacing w:before="360" w:line="288" w:lineRule="auto"/>
    </w:pPr>
    <w:rPr>
      <w:b/>
    </w:rPr>
  </w:style>
  <w:style w:type="paragraph" w:styleId="Notedebasdepage">
    <w:name w:val="footnote text"/>
    <w:basedOn w:val="Normal"/>
    <w:link w:val="NotedebasdepageCar"/>
    <w:uiPriority w:val="99"/>
    <w:unhideWhenUsed/>
    <w:rsid w:val="004C04AB"/>
    <w:pPr>
      <w:spacing w:after="60"/>
    </w:pPr>
    <w:rPr>
      <w:sz w:val="16"/>
      <w:szCs w:val="20"/>
    </w:rPr>
  </w:style>
  <w:style w:type="character" w:customStyle="1" w:styleId="NotedebasdepageCar">
    <w:name w:val="Note de bas de page Car"/>
    <w:basedOn w:val="Policepardfaut"/>
    <w:link w:val="Notedebasdepage"/>
    <w:uiPriority w:val="99"/>
    <w:rsid w:val="004C04AB"/>
    <w:rPr>
      <w:rFonts w:ascii="Tahoma" w:hAnsi="Tahoma" w:cs="Arial"/>
      <w:sz w:val="16"/>
      <w:szCs w:val="20"/>
      <w:lang w:eastAsia="de-DE"/>
    </w:rPr>
  </w:style>
  <w:style w:type="character" w:styleId="Appelnotedebasdep">
    <w:name w:val="footnote reference"/>
    <w:aliases w:val="Fußnotenzeichen DISS,16 Point,Superscript 6 Point"/>
    <w:basedOn w:val="Policepardfaut"/>
    <w:uiPriority w:val="99"/>
    <w:unhideWhenUsed/>
    <w:rsid w:val="004C04AB"/>
    <w:rPr>
      <w:vertAlign w:val="superscript"/>
    </w:rPr>
  </w:style>
  <w:style w:type="paragraph" w:styleId="TM1">
    <w:name w:val="toc 1"/>
    <w:basedOn w:val="Normal"/>
    <w:next w:val="Normal"/>
    <w:autoRedefine/>
    <w:uiPriority w:val="39"/>
    <w:unhideWhenUsed/>
    <w:rsid w:val="00151092"/>
    <w:pPr>
      <w:spacing w:after="100"/>
    </w:pPr>
  </w:style>
  <w:style w:type="paragraph" w:styleId="TM2">
    <w:name w:val="toc 2"/>
    <w:basedOn w:val="Normal"/>
    <w:next w:val="Normal"/>
    <w:autoRedefine/>
    <w:uiPriority w:val="39"/>
    <w:unhideWhenUsed/>
    <w:rsid w:val="00151092"/>
    <w:pPr>
      <w:spacing w:after="100"/>
      <w:ind w:left="220"/>
    </w:pPr>
  </w:style>
  <w:style w:type="paragraph" w:styleId="TM3">
    <w:name w:val="toc 3"/>
    <w:basedOn w:val="Normal"/>
    <w:next w:val="Normal"/>
    <w:autoRedefine/>
    <w:uiPriority w:val="39"/>
    <w:unhideWhenUsed/>
    <w:rsid w:val="00151092"/>
    <w:pPr>
      <w:spacing w:after="100"/>
      <w:ind w:left="440"/>
    </w:pPr>
  </w:style>
  <w:style w:type="character" w:styleId="Lienhypertexte">
    <w:name w:val="Hyperlink"/>
    <w:basedOn w:val="Policepardfaut"/>
    <w:uiPriority w:val="99"/>
    <w:unhideWhenUsed/>
    <w:rsid w:val="00151092"/>
    <w:rPr>
      <w:color w:val="6B9F25" w:themeColor="hyperlink"/>
      <w:u w:val="single"/>
      <w:lang w:val="de-DE"/>
    </w:rPr>
  </w:style>
  <w:style w:type="paragraph" w:customStyle="1" w:styleId="Tblmat">
    <w:name w:val="Tbl_mat"/>
    <w:basedOn w:val="Normal"/>
    <w:next w:val="Normal"/>
    <w:rsid w:val="00151092"/>
    <w:pPr>
      <w:keepNext/>
      <w:spacing w:before="240" w:after="240"/>
      <w:jc w:val="both"/>
    </w:pPr>
    <w:rPr>
      <w:rFonts w:cs="Tahoma"/>
      <w:b/>
      <w:color w:val="1481AB" w:themeColor="accent1" w:themeShade="BF"/>
      <w:sz w:val="22"/>
    </w:rPr>
  </w:style>
  <w:style w:type="paragraph" w:styleId="TM4">
    <w:name w:val="toc 4"/>
    <w:basedOn w:val="Normal"/>
    <w:next w:val="Normal"/>
    <w:autoRedefine/>
    <w:uiPriority w:val="39"/>
    <w:unhideWhenUsed/>
    <w:rsid w:val="00151092"/>
    <w:pPr>
      <w:spacing w:after="100"/>
      <w:ind w:left="600"/>
    </w:pPr>
  </w:style>
  <w:style w:type="paragraph" w:styleId="En-tte">
    <w:name w:val="header"/>
    <w:basedOn w:val="Normal"/>
    <w:link w:val="En-tteCar"/>
    <w:unhideWhenUsed/>
    <w:rsid w:val="00E66EBD"/>
    <w:pPr>
      <w:tabs>
        <w:tab w:val="center" w:pos="4536"/>
        <w:tab w:val="right" w:pos="9072"/>
      </w:tabs>
    </w:pPr>
  </w:style>
  <w:style w:type="character" w:customStyle="1" w:styleId="En-tteCar">
    <w:name w:val="En-tête Car"/>
    <w:basedOn w:val="Policepardfaut"/>
    <w:link w:val="En-tte"/>
    <w:rsid w:val="00E66EBD"/>
    <w:rPr>
      <w:rFonts w:ascii="Tahoma" w:hAnsi="Tahoma" w:cs="Arial"/>
      <w:sz w:val="20"/>
      <w:lang w:eastAsia="de-DE"/>
    </w:rPr>
  </w:style>
  <w:style w:type="paragraph" w:styleId="Pieddepage">
    <w:name w:val="footer"/>
    <w:basedOn w:val="Normal"/>
    <w:link w:val="PieddepageCar"/>
    <w:uiPriority w:val="99"/>
    <w:unhideWhenUsed/>
    <w:rsid w:val="00E66EBD"/>
    <w:pPr>
      <w:tabs>
        <w:tab w:val="center" w:pos="4536"/>
        <w:tab w:val="right" w:pos="9072"/>
      </w:tabs>
    </w:pPr>
  </w:style>
  <w:style w:type="character" w:customStyle="1" w:styleId="PieddepageCar">
    <w:name w:val="Pied de page Car"/>
    <w:basedOn w:val="Policepardfaut"/>
    <w:link w:val="Pieddepage"/>
    <w:uiPriority w:val="99"/>
    <w:rsid w:val="00E66EBD"/>
    <w:rPr>
      <w:rFonts w:ascii="Tahoma" w:hAnsi="Tahoma" w:cs="Arial"/>
      <w:sz w:val="20"/>
      <w:lang w:eastAsia="de-DE"/>
    </w:rPr>
  </w:style>
  <w:style w:type="character" w:styleId="Marquedecommentaire">
    <w:name w:val="annotation reference"/>
    <w:basedOn w:val="Policepardfaut"/>
    <w:uiPriority w:val="99"/>
    <w:semiHidden/>
    <w:unhideWhenUsed/>
    <w:rsid w:val="00DE703E"/>
    <w:rPr>
      <w:sz w:val="16"/>
      <w:szCs w:val="16"/>
    </w:rPr>
  </w:style>
  <w:style w:type="paragraph" w:styleId="Commentaire">
    <w:name w:val="annotation text"/>
    <w:basedOn w:val="Normal"/>
    <w:link w:val="CommentaireCar"/>
    <w:uiPriority w:val="99"/>
    <w:semiHidden/>
    <w:unhideWhenUsed/>
    <w:rsid w:val="00DE703E"/>
    <w:rPr>
      <w:szCs w:val="20"/>
    </w:rPr>
  </w:style>
  <w:style w:type="character" w:customStyle="1" w:styleId="CommentaireCar">
    <w:name w:val="Commentaire Car"/>
    <w:basedOn w:val="Policepardfaut"/>
    <w:link w:val="Commentaire"/>
    <w:uiPriority w:val="99"/>
    <w:semiHidden/>
    <w:rsid w:val="00DE703E"/>
    <w:rPr>
      <w:rFonts w:ascii="Tahoma" w:hAnsi="Tahoma" w:cs="Arial"/>
      <w:sz w:val="20"/>
      <w:szCs w:val="20"/>
      <w:lang w:eastAsia="de-DE"/>
    </w:rPr>
  </w:style>
  <w:style w:type="paragraph" w:styleId="Objetducommentaire">
    <w:name w:val="annotation subject"/>
    <w:basedOn w:val="Commentaire"/>
    <w:next w:val="Commentaire"/>
    <w:link w:val="ObjetducommentaireCar"/>
    <w:uiPriority w:val="99"/>
    <w:semiHidden/>
    <w:unhideWhenUsed/>
    <w:rsid w:val="00DE703E"/>
    <w:rPr>
      <w:b/>
      <w:bCs/>
    </w:rPr>
  </w:style>
  <w:style w:type="character" w:customStyle="1" w:styleId="ObjetducommentaireCar">
    <w:name w:val="Objet du commentaire Car"/>
    <w:basedOn w:val="CommentaireCar"/>
    <w:link w:val="Objetducommentaire"/>
    <w:uiPriority w:val="99"/>
    <w:semiHidden/>
    <w:rsid w:val="00DE703E"/>
    <w:rPr>
      <w:rFonts w:ascii="Tahoma" w:hAnsi="Tahoma" w:cs="Arial"/>
      <w:b/>
      <w:bCs/>
      <w:sz w:val="20"/>
      <w:szCs w:val="20"/>
      <w:lang w:eastAsia="de-DE"/>
    </w:rPr>
  </w:style>
  <w:style w:type="character" w:styleId="lev">
    <w:name w:val="Strong"/>
    <w:basedOn w:val="Policepardfaut"/>
    <w:uiPriority w:val="22"/>
    <w:qFormat/>
    <w:rsid w:val="001E7A85"/>
    <w:rPr>
      <w:b/>
      <w:bCs/>
    </w:rPr>
  </w:style>
  <w:style w:type="paragraph" w:customStyle="1" w:styleId="Car">
    <w:name w:val="Car"/>
    <w:basedOn w:val="Normal"/>
    <w:rsid w:val="001754BB"/>
    <w:pPr>
      <w:spacing w:after="160" w:line="240" w:lineRule="exact"/>
      <w:jc w:val="both"/>
    </w:pPr>
    <w:rPr>
      <w:rFonts w:ascii="Arial" w:eastAsia="Times New Roman" w:hAnsi="Arial" w:cs="Times New Roman"/>
      <w:szCs w:val="20"/>
      <w:lang w:val="en-US" w:eastAsia="en-US"/>
    </w:rPr>
  </w:style>
  <w:style w:type="paragraph" w:customStyle="1" w:styleId="Default">
    <w:name w:val="Default"/>
    <w:rsid w:val="00112EE9"/>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5965037">
      <w:bodyDiv w:val="1"/>
      <w:marLeft w:val="0"/>
      <w:marRight w:val="0"/>
      <w:marTop w:val="0"/>
      <w:marBottom w:val="0"/>
      <w:divBdr>
        <w:top w:val="none" w:sz="0" w:space="0" w:color="auto"/>
        <w:left w:val="none" w:sz="0" w:space="0" w:color="auto"/>
        <w:bottom w:val="none" w:sz="0" w:space="0" w:color="auto"/>
        <w:right w:val="none" w:sz="0" w:space="0" w:color="auto"/>
      </w:divBdr>
    </w:div>
    <w:div w:id="215314361">
      <w:bodyDiv w:val="1"/>
      <w:marLeft w:val="0"/>
      <w:marRight w:val="0"/>
      <w:marTop w:val="0"/>
      <w:marBottom w:val="0"/>
      <w:divBdr>
        <w:top w:val="none" w:sz="0" w:space="0" w:color="auto"/>
        <w:left w:val="none" w:sz="0" w:space="0" w:color="auto"/>
        <w:bottom w:val="none" w:sz="0" w:space="0" w:color="auto"/>
        <w:right w:val="none" w:sz="0" w:space="0" w:color="auto"/>
      </w:divBdr>
    </w:div>
    <w:div w:id="378020807">
      <w:bodyDiv w:val="1"/>
      <w:marLeft w:val="0"/>
      <w:marRight w:val="0"/>
      <w:marTop w:val="0"/>
      <w:marBottom w:val="0"/>
      <w:divBdr>
        <w:top w:val="none" w:sz="0" w:space="0" w:color="auto"/>
        <w:left w:val="none" w:sz="0" w:space="0" w:color="auto"/>
        <w:bottom w:val="none" w:sz="0" w:space="0" w:color="auto"/>
        <w:right w:val="none" w:sz="0" w:space="0" w:color="auto"/>
      </w:divBdr>
    </w:div>
    <w:div w:id="397240880">
      <w:bodyDiv w:val="1"/>
      <w:marLeft w:val="0"/>
      <w:marRight w:val="0"/>
      <w:marTop w:val="0"/>
      <w:marBottom w:val="0"/>
      <w:divBdr>
        <w:top w:val="none" w:sz="0" w:space="0" w:color="auto"/>
        <w:left w:val="none" w:sz="0" w:space="0" w:color="auto"/>
        <w:bottom w:val="none" w:sz="0" w:space="0" w:color="auto"/>
        <w:right w:val="none" w:sz="0" w:space="0" w:color="auto"/>
      </w:divBdr>
    </w:div>
    <w:div w:id="413207414">
      <w:bodyDiv w:val="1"/>
      <w:marLeft w:val="0"/>
      <w:marRight w:val="0"/>
      <w:marTop w:val="0"/>
      <w:marBottom w:val="0"/>
      <w:divBdr>
        <w:top w:val="none" w:sz="0" w:space="0" w:color="auto"/>
        <w:left w:val="none" w:sz="0" w:space="0" w:color="auto"/>
        <w:bottom w:val="none" w:sz="0" w:space="0" w:color="auto"/>
        <w:right w:val="none" w:sz="0" w:space="0" w:color="auto"/>
      </w:divBdr>
    </w:div>
    <w:div w:id="447891709">
      <w:bodyDiv w:val="1"/>
      <w:marLeft w:val="0"/>
      <w:marRight w:val="0"/>
      <w:marTop w:val="0"/>
      <w:marBottom w:val="0"/>
      <w:divBdr>
        <w:top w:val="none" w:sz="0" w:space="0" w:color="auto"/>
        <w:left w:val="none" w:sz="0" w:space="0" w:color="auto"/>
        <w:bottom w:val="none" w:sz="0" w:space="0" w:color="auto"/>
        <w:right w:val="none" w:sz="0" w:space="0" w:color="auto"/>
      </w:divBdr>
    </w:div>
    <w:div w:id="463736577">
      <w:bodyDiv w:val="1"/>
      <w:marLeft w:val="0"/>
      <w:marRight w:val="0"/>
      <w:marTop w:val="0"/>
      <w:marBottom w:val="0"/>
      <w:divBdr>
        <w:top w:val="none" w:sz="0" w:space="0" w:color="auto"/>
        <w:left w:val="none" w:sz="0" w:space="0" w:color="auto"/>
        <w:bottom w:val="none" w:sz="0" w:space="0" w:color="auto"/>
        <w:right w:val="none" w:sz="0" w:space="0" w:color="auto"/>
      </w:divBdr>
    </w:div>
    <w:div w:id="588541355">
      <w:bodyDiv w:val="1"/>
      <w:marLeft w:val="0"/>
      <w:marRight w:val="0"/>
      <w:marTop w:val="0"/>
      <w:marBottom w:val="0"/>
      <w:divBdr>
        <w:top w:val="none" w:sz="0" w:space="0" w:color="auto"/>
        <w:left w:val="none" w:sz="0" w:space="0" w:color="auto"/>
        <w:bottom w:val="none" w:sz="0" w:space="0" w:color="auto"/>
        <w:right w:val="none" w:sz="0" w:space="0" w:color="auto"/>
      </w:divBdr>
    </w:div>
    <w:div w:id="608658466">
      <w:bodyDiv w:val="1"/>
      <w:marLeft w:val="0"/>
      <w:marRight w:val="0"/>
      <w:marTop w:val="0"/>
      <w:marBottom w:val="0"/>
      <w:divBdr>
        <w:top w:val="none" w:sz="0" w:space="0" w:color="auto"/>
        <w:left w:val="none" w:sz="0" w:space="0" w:color="auto"/>
        <w:bottom w:val="none" w:sz="0" w:space="0" w:color="auto"/>
        <w:right w:val="none" w:sz="0" w:space="0" w:color="auto"/>
      </w:divBdr>
    </w:div>
    <w:div w:id="670521624">
      <w:bodyDiv w:val="1"/>
      <w:marLeft w:val="0"/>
      <w:marRight w:val="0"/>
      <w:marTop w:val="0"/>
      <w:marBottom w:val="0"/>
      <w:divBdr>
        <w:top w:val="none" w:sz="0" w:space="0" w:color="auto"/>
        <w:left w:val="none" w:sz="0" w:space="0" w:color="auto"/>
        <w:bottom w:val="none" w:sz="0" w:space="0" w:color="auto"/>
        <w:right w:val="none" w:sz="0" w:space="0" w:color="auto"/>
      </w:divBdr>
    </w:div>
    <w:div w:id="1018694923">
      <w:bodyDiv w:val="1"/>
      <w:marLeft w:val="0"/>
      <w:marRight w:val="0"/>
      <w:marTop w:val="0"/>
      <w:marBottom w:val="0"/>
      <w:divBdr>
        <w:top w:val="none" w:sz="0" w:space="0" w:color="auto"/>
        <w:left w:val="none" w:sz="0" w:space="0" w:color="auto"/>
        <w:bottom w:val="none" w:sz="0" w:space="0" w:color="auto"/>
        <w:right w:val="none" w:sz="0" w:space="0" w:color="auto"/>
      </w:divBdr>
    </w:div>
    <w:div w:id="1031300322">
      <w:bodyDiv w:val="1"/>
      <w:marLeft w:val="0"/>
      <w:marRight w:val="0"/>
      <w:marTop w:val="0"/>
      <w:marBottom w:val="0"/>
      <w:divBdr>
        <w:top w:val="none" w:sz="0" w:space="0" w:color="auto"/>
        <w:left w:val="none" w:sz="0" w:space="0" w:color="auto"/>
        <w:bottom w:val="none" w:sz="0" w:space="0" w:color="auto"/>
        <w:right w:val="none" w:sz="0" w:space="0" w:color="auto"/>
      </w:divBdr>
    </w:div>
    <w:div w:id="1089229780">
      <w:bodyDiv w:val="1"/>
      <w:marLeft w:val="0"/>
      <w:marRight w:val="0"/>
      <w:marTop w:val="0"/>
      <w:marBottom w:val="0"/>
      <w:divBdr>
        <w:top w:val="none" w:sz="0" w:space="0" w:color="auto"/>
        <w:left w:val="none" w:sz="0" w:space="0" w:color="auto"/>
        <w:bottom w:val="none" w:sz="0" w:space="0" w:color="auto"/>
        <w:right w:val="none" w:sz="0" w:space="0" w:color="auto"/>
      </w:divBdr>
    </w:div>
    <w:div w:id="1118530719">
      <w:bodyDiv w:val="1"/>
      <w:marLeft w:val="0"/>
      <w:marRight w:val="0"/>
      <w:marTop w:val="0"/>
      <w:marBottom w:val="0"/>
      <w:divBdr>
        <w:top w:val="none" w:sz="0" w:space="0" w:color="auto"/>
        <w:left w:val="none" w:sz="0" w:space="0" w:color="auto"/>
        <w:bottom w:val="none" w:sz="0" w:space="0" w:color="auto"/>
        <w:right w:val="none" w:sz="0" w:space="0" w:color="auto"/>
      </w:divBdr>
    </w:div>
    <w:div w:id="1196888957">
      <w:bodyDiv w:val="1"/>
      <w:marLeft w:val="0"/>
      <w:marRight w:val="0"/>
      <w:marTop w:val="0"/>
      <w:marBottom w:val="0"/>
      <w:divBdr>
        <w:top w:val="none" w:sz="0" w:space="0" w:color="auto"/>
        <w:left w:val="none" w:sz="0" w:space="0" w:color="auto"/>
        <w:bottom w:val="none" w:sz="0" w:space="0" w:color="auto"/>
        <w:right w:val="none" w:sz="0" w:space="0" w:color="auto"/>
      </w:divBdr>
    </w:div>
    <w:div w:id="1228804073">
      <w:bodyDiv w:val="1"/>
      <w:marLeft w:val="0"/>
      <w:marRight w:val="0"/>
      <w:marTop w:val="0"/>
      <w:marBottom w:val="0"/>
      <w:divBdr>
        <w:top w:val="none" w:sz="0" w:space="0" w:color="auto"/>
        <w:left w:val="none" w:sz="0" w:space="0" w:color="auto"/>
        <w:bottom w:val="none" w:sz="0" w:space="0" w:color="auto"/>
        <w:right w:val="none" w:sz="0" w:space="0" w:color="auto"/>
      </w:divBdr>
    </w:div>
    <w:div w:id="1253009694">
      <w:bodyDiv w:val="1"/>
      <w:marLeft w:val="0"/>
      <w:marRight w:val="0"/>
      <w:marTop w:val="0"/>
      <w:marBottom w:val="0"/>
      <w:divBdr>
        <w:top w:val="none" w:sz="0" w:space="0" w:color="auto"/>
        <w:left w:val="none" w:sz="0" w:space="0" w:color="auto"/>
        <w:bottom w:val="none" w:sz="0" w:space="0" w:color="auto"/>
        <w:right w:val="none" w:sz="0" w:space="0" w:color="auto"/>
      </w:divBdr>
    </w:div>
    <w:div w:id="1354843296">
      <w:bodyDiv w:val="1"/>
      <w:marLeft w:val="0"/>
      <w:marRight w:val="0"/>
      <w:marTop w:val="0"/>
      <w:marBottom w:val="0"/>
      <w:divBdr>
        <w:top w:val="none" w:sz="0" w:space="0" w:color="auto"/>
        <w:left w:val="none" w:sz="0" w:space="0" w:color="auto"/>
        <w:bottom w:val="none" w:sz="0" w:space="0" w:color="auto"/>
        <w:right w:val="none" w:sz="0" w:space="0" w:color="auto"/>
      </w:divBdr>
    </w:div>
    <w:div w:id="1404835269">
      <w:bodyDiv w:val="1"/>
      <w:marLeft w:val="0"/>
      <w:marRight w:val="0"/>
      <w:marTop w:val="0"/>
      <w:marBottom w:val="0"/>
      <w:divBdr>
        <w:top w:val="none" w:sz="0" w:space="0" w:color="auto"/>
        <w:left w:val="none" w:sz="0" w:space="0" w:color="auto"/>
        <w:bottom w:val="none" w:sz="0" w:space="0" w:color="auto"/>
        <w:right w:val="none" w:sz="0" w:space="0" w:color="auto"/>
      </w:divBdr>
    </w:div>
    <w:div w:id="1584876929">
      <w:bodyDiv w:val="1"/>
      <w:marLeft w:val="0"/>
      <w:marRight w:val="0"/>
      <w:marTop w:val="0"/>
      <w:marBottom w:val="0"/>
      <w:divBdr>
        <w:top w:val="none" w:sz="0" w:space="0" w:color="auto"/>
        <w:left w:val="none" w:sz="0" w:space="0" w:color="auto"/>
        <w:bottom w:val="none" w:sz="0" w:space="0" w:color="auto"/>
        <w:right w:val="none" w:sz="0" w:space="0" w:color="auto"/>
      </w:divBdr>
    </w:div>
    <w:div w:id="1586064194">
      <w:bodyDiv w:val="1"/>
      <w:marLeft w:val="0"/>
      <w:marRight w:val="0"/>
      <w:marTop w:val="0"/>
      <w:marBottom w:val="0"/>
      <w:divBdr>
        <w:top w:val="none" w:sz="0" w:space="0" w:color="auto"/>
        <w:left w:val="none" w:sz="0" w:space="0" w:color="auto"/>
        <w:bottom w:val="none" w:sz="0" w:space="0" w:color="auto"/>
        <w:right w:val="none" w:sz="0" w:space="0" w:color="auto"/>
      </w:divBdr>
    </w:div>
    <w:div w:id="1622810103">
      <w:bodyDiv w:val="1"/>
      <w:marLeft w:val="0"/>
      <w:marRight w:val="0"/>
      <w:marTop w:val="0"/>
      <w:marBottom w:val="0"/>
      <w:divBdr>
        <w:top w:val="none" w:sz="0" w:space="0" w:color="auto"/>
        <w:left w:val="none" w:sz="0" w:space="0" w:color="auto"/>
        <w:bottom w:val="none" w:sz="0" w:space="0" w:color="auto"/>
        <w:right w:val="none" w:sz="0" w:space="0" w:color="auto"/>
      </w:divBdr>
    </w:div>
    <w:div w:id="1911772029">
      <w:bodyDiv w:val="1"/>
      <w:marLeft w:val="0"/>
      <w:marRight w:val="0"/>
      <w:marTop w:val="0"/>
      <w:marBottom w:val="0"/>
      <w:divBdr>
        <w:top w:val="none" w:sz="0" w:space="0" w:color="auto"/>
        <w:left w:val="none" w:sz="0" w:space="0" w:color="auto"/>
        <w:bottom w:val="none" w:sz="0" w:space="0" w:color="auto"/>
        <w:right w:val="none" w:sz="0" w:space="0" w:color="auto"/>
      </w:divBdr>
    </w:div>
    <w:div w:id="19877785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customXml" Target="../customXml/item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ustomXml" Target="../customXml/item4.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3.xml"/></Relationships>
</file>

<file path=word/theme/_rels/theme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Intégral">
  <a:themeElements>
    <a:clrScheme name="Intégral">
      <a:dk1>
        <a:sysClr val="windowText" lastClr="000000"/>
      </a:dk1>
      <a:lt1>
        <a:sysClr val="window" lastClr="FFFFFF"/>
      </a:lt1>
      <a:dk2>
        <a:srgbClr val="335B74"/>
      </a:dk2>
      <a:lt2>
        <a:srgbClr val="DFE3E5"/>
      </a:lt2>
      <a:accent1>
        <a:srgbClr val="1CADE4"/>
      </a:accent1>
      <a:accent2>
        <a:srgbClr val="2683C6"/>
      </a:accent2>
      <a:accent3>
        <a:srgbClr val="27CED7"/>
      </a:accent3>
      <a:accent4>
        <a:srgbClr val="42BA97"/>
      </a:accent4>
      <a:accent5>
        <a:srgbClr val="3E8853"/>
      </a:accent5>
      <a:accent6>
        <a:srgbClr val="62A39F"/>
      </a:accent6>
      <a:hlink>
        <a:srgbClr val="6B9F25"/>
      </a:hlink>
      <a:folHlink>
        <a:srgbClr val="B26B02"/>
      </a:folHlink>
    </a:clrScheme>
    <a:fontScheme name="Intégral">
      <a:majorFont>
        <a:latin typeface="Tw Cen MT Condensed"/>
        <a:ea typeface=""/>
        <a:cs typeface=""/>
        <a:font script="Grek" typeface="Calibri"/>
        <a:font script="Cyrl" typeface="Calibri"/>
        <a:font script="Jpan" typeface="メイリオ"/>
        <a:font script="Hang" typeface="HY얕은샘물M"/>
        <a:font script="Hans" typeface="华文仿宋"/>
        <a:font script="Hant" typeface="微軟正黑體"/>
        <a:font script="Arab" typeface="Arial"/>
        <a:font script="Hebr" typeface="Levenim MT"/>
        <a:font script="Thai" typeface="Frees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Tw Cen MT"/>
        <a:ea typeface=""/>
        <a:cs typeface=""/>
        <a:font script="Grek" typeface="Calibri"/>
        <a:font script="Cyrl" typeface="Calibri"/>
        <a:font script="Jpan" typeface="メイリオ"/>
        <a:font script="Hang" typeface="HY얕은샘물M"/>
        <a:font script="Hans" typeface="华文仿宋"/>
        <a:font script="Hant" typeface="微軟正黑體"/>
        <a:font script="Arab" typeface="Arial"/>
        <a:font script="Hebr" typeface="Levenim MT"/>
        <a:font script="Thai" typeface="Frees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Intégral">
      <a:fillStyleLst>
        <a:solidFill>
          <a:schemeClr val="phClr"/>
        </a:solidFill>
        <a:gradFill rotWithShape="1">
          <a:gsLst>
            <a:gs pos="0">
              <a:schemeClr val="phClr">
                <a:tint val="83000"/>
                <a:satMod val="100000"/>
                <a:lumMod val="100000"/>
              </a:schemeClr>
            </a:gs>
            <a:gs pos="100000">
              <a:schemeClr val="phClr">
                <a:tint val="61000"/>
                <a:satMod val="150000"/>
                <a:lumMod val="100000"/>
              </a:schemeClr>
            </a:gs>
          </a:gsLst>
          <a:path path="circle">
            <a:fillToRect l="100000" t="100000" r="100000" b="100000"/>
          </a:path>
        </a:gradFill>
        <a:gradFill rotWithShape="1">
          <a:gsLst>
            <a:gs pos="0">
              <a:schemeClr val="phClr">
                <a:tint val="100000"/>
                <a:shade val="85000"/>
                <a:satMod val="100000"/>
                <a:lumMod val="100000"/>
              </a:schemeClr>
            </a:gs>
            <a:gs pos="100000">
              <a:schemeClr val="phClr">
                <a:tint val="90000"/>
                <a:shade val="100000"/>
                <a:satMod val="150000"/>
                <a:lumMod val="100000"/>
              </a:schemeClr>
            </a:gs>
          </a:gsLst>
          <a:path path="circle">
            <a:fillToRect l="100000" t="100000" r="100000" b="100000"/>
          </a:path>
        </a:gradFill>
      </a:fillStyleLst>
      <a:lnStyleLst>
        <a:ln w="9525" cap="flat" cmpd="sng" algn="ctr">
          <a:solidFill>
            <a:schemeClr val="phClr"/>
          </a:solidFill>
          <a:prstDash val="solid"/>
        </a:ln>
        <a:ln w="15875" cap="flat" cmpd="sng" algn="ctr">
          <a:solidFill>
            <a:schemeClr val="phClr"/>
          </a:solidFill>
          <a:prstDash val="solid"/>
        </a:ln>
        <a:ln w="19050" cap="flat" cmpd="sng" algn="ctr">
          <a:solidFill>
            <a:schemeClr val="phClr"/>
          </a:solidFill>
          <a:prstDash val="solid"/>
        </a:ln>
      </a:lnStyleLst>
      <a:effectStyleLst>
        <a:effectStyle>
          <a:effectLst/>
        </a:effectStyle>
        <a:effectStyle>
          <a:effectLst>
            <a:outerShdw blurRad="50800" dist="12700" dir="5400000" algn="ctr" rotWithShape="0">
              <a:srgbClr val="000000">
                <a:alpha val="50000"/>
              </a:srgbClr>
            </a:outerShdw>
          </a:effectLst>
        </a:effectStyle>
        <a:effectStyle>
          <a:effectLst>
            <a:outerShdw blurRad="76200" dist="25400" dir="5400000" algn="ctr" rotWithShape="0">
              <a:srgbClr val="000000">
                <a:alpha val="60000"/>
              </a:srgbClr>
            </a:outerShdw>
          </a:effectLst>
          <a:scene3d>
            <a:camera prst="orthographicFront">
              <a:rot lat="0" lon="0" rev="0"/>
            </a:camera>
            <a:lightRig rig="flat" dir="t">
              <a:rot lat="0" lon="0" rev="3600000"/>
            </a:lightRig>
          </a:scene3d>
          <a:sp3d contourW="12700" prstMaterial="flat">
            <a:bevelT w="38100" h="44450" prst="angle"/>
            <a:contourClr>
              <a:schemeClr val="phClr">
                <a:shade val="35000"/>
                <a:satMod val="160000"/>
              </a:schemeClr>
            </a:contourClr>
          </a:sp3d>
        </a:effectStyle>
      </a:effectStyleLst>
      <a:bgFillStyleLst>
        <a:solidFill>
          <a:schemeClr val="phClr"/>
        </a:solidFill>
        <a:solidFill>
          <a:schemeClr val="phClr">
            <a:tint val="95000"/>
            <a:shade val="85000"/>
            <a:satMod val="125000"/>
          </a:schemeClr>
        </a:solidFill>
        <a:blipFill rotWithShape="1">
          <a:blip xmlns:r="http://schemas.openxmlformats.org/officeDocument/2006/relationships" r:embed="rId1">
            <a:duotone>
              <a:schemeClr val="phClr">
                <a:tint val="95000"/>
                <a:shade val="74000"/>
                <a:satMod val="230000"/>
              </a:schemeClr>
              <a:schemeClr val="phClr">
                <a:tint val="92000"/>
                <a:shade val="69000"/>
                <a:satMod val="250000"/>
              </a:schemeClr>
            </a:duotone>
          </a:blip>
          <a:tile tx="0" ty="0" sx="40000" sy="40000" flip="none" algn="tl"/>
        </a:blipFill>
      </a:bgFillStyleLst>
    </a:fmtScheme>
  </a:themeElements>
  <a:objectDefaults/>
  <a:extraClrSchemeLst/>
  <a:extLst>
    <a:ext uri="{05A4C25C-085E-4340-85A3-A5531E510DB2}">
      <thm15:themeFamily xmlns:thm15="http://schemas.microsoft.com/office/thememl/2012/main" name="Integral" id="{3577F8C9-A904-41D8-97D2-FD898F53F20E}" vid="{682D6EBE-8D36-4FF2-9DB3-F3D8D7B6715D}"/>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WBOpsProjectDoc" ma:contentTypeID="0x01010054E0FEF4951F9D49A6F48A35419983C7006FEBECE02536064FB65C350D1BAE2CFE" ma:contentTypeVersion="3" ma:contentTypeDescription="" ma:contentTypeScope="" ma:versionID="3d86414bbef0ff409ae65bc3fa2e6de5">
  <xsd:schema xmlns:xsd="http://www.w3.org/2001/XMLSchema" xmlns:xs="http://www.w3.org/2001/XMLSchema" xmlns:p="http://schemas.microsoft.com/office/2006/metadata/properties" xmlns:ns2="b99a068c-3844-4a16-badd-77233eea0529" targetNamespace="http://schemas.microsoft.com/office/2006/metadata/properties" ma:root="true" ma:fieldsID="fda24a9677bb9d21e2f1b3e6e3d6658a" ns2:_="">
    <xsd:import namespace="b99a068c-3844-4a16-badd-77233eea0529"/>
    <xsd:element name="properties">
      <xsd:complexType>
        <xsd:sequence>
          <xsd:element name="documentManagement">
            <xsd:complexType>
              <xsd:all>
                <xsd:element ref="ns2:ProjectID" minOccurs="0"/>
                <xsd:element ref="ns2:Stage" minOccurs="0"/>
                <xsd:element ref="ns2:Package" minOccurs="0"/>
                <xsd:element ref="ns2:DocumentType" minOccurs="0"/>
                <xsd:element ref="ns2:SortOrder" minOccurs="0"/>
                <xsd:element ref="ns2:AttachmentType" minOccurs="0"/>
                <xsd:element ref="ns2:Abstract" minOccurs="0"/>
                <xsd:element ref="ns2:SecurityClassification" minOccurs="0"/>
                <xsd:element ref="ns2:Cordis_x0020_ID" minOccurs="0"/>
                <xsd:element ref="ns2:Task_x0020_ID" minOccurs="0"/>
                <xsd:element ref="ns2:DependentDoc" minOccurs="0"/>
                <xsd:element ref="ns2:DeliverableID" minOccurs="0"/>
                <xsd:element ref="ns2:RefreshDate" minOccurs="0"/>
                <xsd:element ref="ns2:DocStatus" minOccurs="0"/>
                <xsd:element ref="ns2:ApprovedVersion" minOccurs="0"/>
                <xsd:element ref="ns2:DisclosedVersion" minOccurs="0"/>
                <xsd:element ref="ns2:HasUserUploaded" minOccurs="0"/>
                <xsd:element ref="ns2:IsMandatory" minOccurs="0"/>
                <xsd:element ref="ns2:IsTemplate" minOccurs="0"/>
                <xsd:element ref="ns2:SAPStage" minOccurs="0"/>
                <xsd:element ref="ns2:Authors" minOccurs="0"/>
                <xsd:element ref="ns2:DocAuthors" minOccurs="0"/>
                <xsd:element ref="ns2:DocumentDate" minOccurs="0"/>
                <xsd:element ref="ns2:PolicyExceptions" minOccurs="0"/>
                <xsd:element ref="ns2:WBDocType" minOccurs="0"/>
                <xsd:element ref="ns2:LockStatus" minOccurs="0"/>
                <xsd:element ref="ns2:DocumentAction" minOccurs="0"/>
                <xsd:element ref="ns2:IsHidden" minOccurs="0"/>
                <xsd:element ref="ns2:TemplateDocVersion" minOccurs="0"/>
                <xsd:element ref="ns2:SequenceNum"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99a068c-3844-4a16-badd-77233eea0529" elementFormDefault="qualified">
    <xsd:import namespace="http://schemas.microsoft.com/office/2006/documentManagement/types"/>
    <xsd:import namespace="http://schemas.microsoft.com/office/infopath/2007/PartnerControls"/>
    <xsd:element name="ProjectID" ma:index="8" nillable="true" ma:displayName="ProjectID" ma:internalName="ProjectID">
      <xsd:simpleType>
        <xsd:restriction base="dms:Text">
          <xsd:maxLength value="255"/>
        </xsd:restriction>
      </xsd:simpleType>
    </xsd:element>
    <xsd:element name="Stage" ma:index="9" nillable="true" ma:displayName="Stage" ma:internalName="Stage">
      <xsd:simpleType>
        <xsd:restriction base="dms:Text">
          <xsd:maxLength value="255"/>
        </xsd:restriction>
      </xsd:simpleType>
    </xsd:element>
    <xsd:element name="Package" ma:index="10" nillable="true" ma:displayName="Package" ma:default="1" ma:internalName="Package">
      <xsd:simpleType>
        <xsd:restriction base="dms:Boolean"/>
      </xsd:simpleType>
    </xsd:element>
    <xsd:element name="DocumentType" ma:index="11" nillable="true" ma:displayName="DocumentType" ma:internalName="DocumentType">
      <xsd:simpleType>
        <xsd:restriction base="dms:Text">
          <xsd:maxLength value="255"/>
        </xsd:restriction>
      </xsd:simpleType>
    </xsd:element>
    <xsd:element name="SortOrder" ma:index="12" nillable="true" ma:displayName="SortOrder" ma:internalName="SortOrder">
      <xsd:simpleType>
        <xsd:restriction base="dms:Number"/>
      </xsd:simpleType>
    </xsd:element>
    <xsd:element name="AttachmentType" ma:index="13" nillable="true" ma:displayName="AttachmentType" ma:internalName="AttachmentType">
      <xsd:simpleType>
        <xsd:restriction base="dms:Text">
          <xsd:maxLength value="255"/>
        </xsd:restriction>
      </xsd:simpleType>
    </xsd:element>
    <xsd:element name="Abstract" ma:index="14" nillable="true" ma:displayName="Abstract" ma:internalName="Abstract">
      <xsd:simpleType>
        <xsd:restriction base="dms:Note"/>
      </xsd:simpleType>
    </xsd:element>
    <xsd:element name="SecurityClassification" ma:index="15" nillable="true" ma:displayName="SecurityClassification" ma:format="Dropdown" ma:internalName="SecurityClassification">
      <xsd:simpleType>
        <xsd:restriction base="dms:Choice">
          <xsd:enumeration value="Official use only"/>
          <xsd:enumeration value="Public"/>
        </xsd:restriction>
      </xsd:simpleType>
    </xsd:element>
    <xsd:element name="Cordis_x0020_ID" ma:index="16" nillable="true" ma:displayName="Cordis ID" ma:internalName="Cordis_x0020_ID">
      <xsd:simpleType>
        <xsd:restriction base="dms:Note"/>
      </xsd:simpleType>
    </xsd:element>
    <xsd:element name="Task_x0020_ID" ma:index="17" nillable="true" ma:displayName="Task ID" ma:internalName="Task_x0020_ID">
      <xsd:simpleType>
        <xsd:restriction base="dms:Note"/>
      </xsd:simpleType>
    </xsd:element>
    <xsd:element name="DependentDoc" ma:index="18" nillable="true" ma:displayName="DependentDoc" ma:internalName="DependentDoc">
      <xsd:simpleType>
        <xsd:restriction base="dms:Note"/>
      </xsd:simpleType>
    </xsd:element>
    <xsd:element name="DeliverableID" ma:index="19" nillable="true" ma:displayName="DeliverableID" ma:internalName="DeliverableID">
      <xsd:simpleType>
        <xsd:restriction base="dms:Note"/>
      </xsd:simpleType>
    </xsd:element>
    <xsd:element name="RefreshDate" ma:index="20" nillable="true" ma:displayName="RefreshDate" ma:format="DateTime" ma:internalName="RefreshDate">
      <xsd:simpleType>
        <xsd:restriction base="dms:DateTime"/>
      </xsd:simpleType>
    </xsd:element>
    <xsd:element name="DocStatus" ma:index="21" nillable="true" ma:displayName="DocStatus" ma:internalName="DocStatus">
      <xsd:simpleType>
        <xsd:restriction base="dms:Text">
          <xsd:maxLength value="255"/>
        </xsd:restriction>
      </xsd:simpleType>
    </xsd:element>
    <xsd:element name="ApprovedVersion" ma:index="22" nillable="true" ma:displayName="ApprovedVersion" ma:internalName="ApprovedVersion">
      <xsd:simpleType>
        <xsd:restriction base="dms:Text">
          <xsd:maxLength value="255"/>
        </xsd:restriction>
      </xsd:simpleType>
    </xsd:element>
    <xsd:element name="DisclosedVersion" ma:index="23" nillable="true" ma:displayName="DisclosedVersion" ma:internalName="DisclosedVersion">
      <xsd:simpleType>
        <xsd:restriction base="dms:Note"/>
      </xsd:simpleType>
    </xsd:element>
    <xsd:element name="HasUserUploaded" ma:index="24" nillable="true" ma:displayName="HasUserUploaded" ma:default="0" ma:internalName="HasUserUploaded">
      <xsd:simpleType>
        <xsd:restriction base="dms:Boolean"/>
      </xsd:simpleType>
    </xsd:element>
    <xsd:element name="IsMandatory" ma:index="25" nillable="true" ma:displayName="IsMandatory" ma:default="0" ma:internalName="IsMandatory">
      <xsd:simpleType>
        <xsd:restriction base="dms:Boolean"/>
      </xsd:simpleType>
    </xsd:element>
    <xsd:element name="IsTemplate" ma:index="26" nillable="true" ma:displayName="IsTemplate" ma:default="0" ma:internalName="IsTemplate">
      <xsd:simpleType>
        <xsd:restriction base="dms:Boolean"/>
      </xsd:simpleType>
    </xsd:element>
    <xsd:element name="SAPStage" ma:index="27" nillable="true" ma:displayName="SAPStage" ma:internalName="SAPStage">
      <xsd:simpleType>
        <xsd:restriction base="dms:Text">
          <xsd:maxLength value="255"/>
        </xsd:restriction>
      </xsd:simpleType>
    </xsd:element>
    <xsd:element name="Authors" ma:index="28" nillable="true" ma:displayName="Authors" ma:list="UserInfo" ma:SharePointGroup="0" ma:internalName="Authors"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ocAuthors" ma:index="29" nillable="true" ma:displayName="DocAuthors" ma:internalName="DocAuthors">
      <xsd:simpleType>
        <xsd:restriction base="dms:Note">
          <xsd:maxLength value="255"/>
        </xsd:restriction>
      </xsd:simpleType>
    </xsd:element>
    <xsd:element name="DocumentDate" ma:index="30" nillable="true" ma:displayName="DocumentDate" ma:format="DateOnly" ma:internalName="DocumentDate">
      <xsd:simpleType>
        <xsd:restriction base="dms:DateTime"/>
      </xsd:simpleType>
    </xsd:element>
    <xsd:element name="PolicyExceptions" ma:index="31" nillable="true" ma:displayName="PolicyExceptions" ma:internalName="PolicyExceptions">
      <xsd:simpleType>
        <xsd:restriction base="dms:Note">
          <xsd:maxLength value="255"/>
        </xsd:restriction>
      </xsd:simpleType>
    </xsd:element>
    <xsd:element name="WBDocType" ma:index="32" nillable="true" ma:displayName="WBDocType" ma:internalName="WBDocType">
      <xsd:simpleType>
        <xsd:restriction base="dms:Text">
          <xsd:maxLength value="255"/>
        </xsd:restriction>
      </xsd:simpleType>
    </xsd:element>
    <xsd:element name="LockStatus" ma:index="33" nillable="true" ma:displayName="LockStatus" ma:internalName="LockStatus">
      <xsd:simpleType>
        <xsd:restriction base="dms:Text">
          <xsd:maxLength value="255"/>
        </xsd:restriction>
      </xsd:simpleType>
    </xsd:element>
    <xsd:element name="DocumentAction" ma:index="34" nillable="true" ma:displayName="DocumentAction" ma:internalName="DocumentAction">
      <xsd:simpleType>
        <xsd:restriction base="dms:Text">
          <xsd:maxLength value="255"/>
        </xsd:restriction>
      </xsd:simpleType>
    </xsd:element>
    <xsd:element name="IsHidden" ma:index="35" nillable="true" ma:displayName="IsHidden" ma:default="0" ma:internalName="IsHidden">
      <xsd:simpleType>
        <xsd:restriction base="dms:Boolean"/>
      </xsd:simpleType>
    </xsd:element>
    <xsd:element name="TemplateDocVersion" ma:index="36" nillable="true" ma:displayName="TemplateDocVersion" ma:internalName="TemplateDocVersion">
      <xsd:simpleType>
        <xsd:restriction base="dms:Text">
          <xsd:maxLength value="255"/>
        </xsd:restriction>
      </xsd:simpleType>
    </xsd:element>
    <xsd:element name="SequenceNum" ma:index="37" nillable="true" ma:displayName="SequenceNum" ma:internalName="SequenceNum">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DocAuthors xmlns="b99a068c-3844-4a16-badd-77233eea0529">000351723:Taibou Adamou Maiga:tmaiga@worldbank.org;</DocAuthors>
    <Authors xmlns="b99a068c-3844-4a16-badd-77233eea0529">
      <UserInfo>
        <DisplayName>i:0#.w|wb\wb351723</DisplayName>
        <AccountId>12244</AccountId>
        <AccountType/>
      </UserInfo>
      <UserInfo>
        <DisplayName/>
        <AccountId xsi:nil="true"/>
        <AccountType/>
      </UserInfo>
    </Authors>
    <Cordis_x0020_ID xmlns="b99a068c-3844-4a16-badd-77233eea0529">ITM00270</Cordis_x0020_ID>
    <Stage xmlns="b99a068c-3844-4a16-badd-77233eea0529">IMP</Stage>
    <PolicyExceptions xmlns="b99a068c-3844-4a16-badd-77233eea0529" xsi:nil="true"/>
    <IsTemplate xmlns="b99a068c-3844-4a16-badd-77233eea0529">false</IsTemplate>
    <HasUserUploaded xmlns="b99a068c-3844-4a16-badd-77233eea0529">true</HasUserUploaded>
    <DocumentDate xmlns="b99a068c-3844-4a16-badd-77233eea0529">2019-03-25T04:00:00+00:00</DocumentDate>
    <WBDocType xmlns="b99a068c-3844-4a16-badd-77233eea0529">Report</WBDocType>
    <SecurityClassification xmlns="b99a068c-3844-4a16-badd-77233eea0529">Public</SecurityClassification>
    <DeliverableID xmlns="b99a068c-3844-4a16-badd-77233eea0529">DLV0204587</DeliverableID>
    <ProjectID xmlns="b99a068c-3844-4a16-badd-77233eea0529">P164373</ProjectID>
    <Task_x0020_ID xmlns="b99a068c-3844-4a16-badd-77233eea0529" xsi:nil="true"/>
    <Package xmlns="b99a068c-3844-4a16-badd-77233eea0529">true</Package>
    <TemplateDocVersion xmlns="b99a068c-3844-4a16-badd-77233eea0529" xsi:nil="true"/>
    <SequenceNum xmlns="b99a068c-3844-4a16-badd-77233eea0529" xsi:nil="true"/>
    <RefreshDate xmlns="b99a068c-3844-4a16-badd-77233eea0529" xsi:nil="true"/>
    <IsMandatory xmlns="b99a068c-3844-4a16-badd-77233eea0529">false</IsMandatory>
    <SortOrder xmlns="b99a068c-3844-4a16-badd-77233eea0529" xsi:nil="true"/>
    <IsHidden xmlns="b99a068c-3844-4a16-badd-77233eea0529">false</IsHidden>
    <AttachmentType xmlns="b99a068c-3844-4a16-badd-77233eea0529" xsi:nil="true"/>
    <DisclosedVersion xmlns="b99a068c-3844-4a16-badd-77233eea0529" xsi:nil="true"/>
    <DocumentType xmlns="b99a068c-3844-4a16-badd-77233eea0529" xsi:nil="true"/>
    <ApprovedVersion xmlns="b99a068c-3844-4a16-badd-77233eea0529" xsi:nil="true"/>
    <DocStatus xmlns="b99a068c-3844-4a16-badd-77233eea0529" xsi:nil="true"/>
    <DependentDoc xmlns="b99a068c-3844-4a16-badd-77233eea0529" xsi:nil="true"/>
    <SAPStage xmlns="b99a068c-3844-4a16-badd-77233eea0529" xsi:nil="true"/>
    <LockStatus xmlns="b99a068c-3844-4a16-badd-77233eea0529" xsi:nil="true"/>
    <Abstract xmlns="b99a068c-3844-4a16-badd-77233eea0529" xsi:nil="true"/>
    <DocumentAction xmlns="b99a068c-3844-4a16-badd-77233eea0529" xsi:nil="true"/>
  </documentManagement>
</p:properties>
</file>

<file path=customXml/item5.xml><?xml version="1.0" encoding="utf-8"?>
<?mso-contentType ?>
<SharedContentType xmlns="Microsoft.SharePoint.Taxonomy.ContentTypeSync" SourceId="a4117c50-33ca-4e49-9a5c-4b51d291b3ff" ContentTypeId="0x01010054E0FEF4951F9D49A6F48A35419983C7" PreviousValue="false"/>
</file>

<file path=customXml/itemProps1.xml><?xml version="1.0" encoding="utf-8"?>
<ds:datastoreItem xmlns:ds="http://schemas.openxmlformats.org/officeDocument/2006/customXml" ds:itemID="{BE971C43-11E5-4CAF-8AFD-6663D3742CDB}">
  <ds:schemaRefs>
    <ds:schemaRef ds:uri="http://schemas.openxmlformats.org/officeDocument/2006/bibliography"/>
  </ds:schemaRefs>
</ds:datastoreItem>
</file>

<file path=customXml/itemProps2.xml><?xml version="1.0" encoding="utf-8"?>
<ds:datastoreItem xmlns:ds="http://schemas.openxmlformats.org/officeDocument/2006/customXml" ds:itemID="{881681E0-2ED6-48DC-BDF4-18E0F1A7BE83}"/>
</file>

<file path=customXml/itemProps3.xml><?xml version="1.0" encoding="utf-8"?>
<ds:datastoreItem xmlns:ds="http://schemas.openxmlformats.org/officeDocument/2006/customXml" ds:itemID="{64CE9376-CA28-4BF7-96F3-2150CDB9DDA0}"/>
</file>

<file path=customXml/itemProps4.xml><?xml version="1.0" encoding="utf-8"?>
<ds:datastoreItem xmlns:ds="http://schemas.openxmlformats.org/officeDocument/2006/customXml" ds:itemID="{2926BA33-81AD-4FFA-88D8-8A5C12C806BC}"/>
</file>

<file path=customXml/itemProps5.xml><?xml version="1.0" encoding="utf-8"?>
<ds:datastoreItem xmlns:ds="http://schemas.openxmlformats.org/officeDocument/2006/customXml" ds:itemID="{37577034-3544-4AE3-8C05-D68E28EFFA41}"/>
</file>

<file path=docProps/app.xml><?xml version="1.0" encoding="utf-8"?>
<Properties xmlns="http://schemas.openxmlformats.org/officeDocument/2006/extended-properties" xmlns:vt="http://schemas.openxmlformats.org/officeDocument/2006/docPropsVTypes">
  <Template>Normal.dotm</Template>
  <TotalTime>20</TotalTime>
  <Pages>73</Pages>
  <Words>21129</Words>
  <Characters>116214</Characters>
  <Application>Microsoft Office Word</Application>
  <DocSecurity>0</DocSecurity>
  <Lines>968</Lines>
  <Paragraphs>274</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137069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Mali Sanitation Diagnostic</dc:title>
  <dc:subject/>
  <dc:creator>M.BALLA</dc:creator>
  <cp:keywords/>
  <dc:description/>
  <cp:lastModifiedBy>ANTEA GROUP</cp:lastModifiedBy>
  <cp:revision>7</cp:revision>
  <dcterms:created xsi:type="dcterms:W3CDTF">2019-01-28T12:02:00Z</dcterms:created>
  <dcterms:modified xsi:type="dcterms:W3CDTF">2019-01-28T14:20:00Z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0x01010054E0FEF4951F9D49A6F48A35419983C7006FEBECE02536064FB65C350D1BAE2CFE</vt:lpwstr>
  </property>
  <property fmtid="{D5CDD505-2E9C-101B-9397-08002B2CF9AE}" pid="5" name="RatedBy">
    <vt:lpwstr/>
  </property>
  <property fmtid="{D5CDD505-2E9C-101B-9397-08002B2CF9AE}" pid="7" name="LikedBy">
    <vt:lpwstr/>
  </property>
</Properties>
</file>